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bidi w:val="0"/>
        <w:adjustRightInd/>
        <w:snapToGrid/>
        <w:spacing w:line="620" w:lineRule="exact"/>
        <w:jc w:val="center"/>
        <w:textAlignment w:val="auto"/>
        <w:rPr>
          <w:rFonts w:hint="eastAsia" w:ascii="Times New Roman" w:hAnsi="Times New Roman" w:eastAsia="黑体" w:cs="Times New Roman"/>
          <w:bCs/>
          <w:sz w:val="44"/>
          <w:szCs w:val="44"/>
          <w:lang w:val="en-US" w:eastAsia="zh-CN"/>
        </w:rPr>
      </w:pPr>
      <w:r>
        <w:rPr>
          <w:rFonts w:hint="default" w:ascii="Times New Roman" w:hAnsi="Times New Roman" w:eastAsia="黑体" w:cs="Times New Roman"/>
          <w:bCs/>
          <w:sz w:val="44"/>
          <w:szCs w:val="44"/>
        </w:rPr>
        <w:t>20</w:t>
      </w:r>
      <w:r>
        <w:rPr>
          <w:rFonts w:hint="default" w:ascii="Times New Roman" w:hAnsi="Times New Roman" w:eastAsia="黑体" w:cs="Times New Roman"/>
          <w:bCs/>
          <w:sz w:val="44"/>
          <w:szCs w:val="44"/>
          <w:lang w:val="en-US" w:eastAsia="zh-CN"/>
        </w:rPr>
        <w:t>2</w:t>
      </w:r>
      <w:r>
        <w:rPr>
          <w:rFonts w:hint="eastAsia" w:ascii="Times New Roman" w:hAnsi="Times New Roman" w:eastAsia="黑体" w:cs="Times New Roman"/>
          <w:bCs/>
          <w:sz w:val="44"/>
          <w:szCs w:val="44"/>
          <w:lang w:val="en-US" w:eastAsia="zh-CN"/>
        </w:rPr>
        <w:t>4</w:t>
      </w:r>
      <w:r>
        <w:rPr>
          <w:rFonts w:hint="default" w:ascii="Times New Roman" w:hAnsi="Times New Roman" w:eastAsia="黑体" w:cs="Times New Roman"/>
          <w:bCs/>
          <w:sz w:val="44"/>
          <w:szCs w:val="44"/>
        </w:rPr>
        <w:t>年</w:t>
      </w:r>
      <w:r>
        <w:rPr>
          <w:rFonts w:hint="eastAsia" w:ascii="Times New Roman" w:hAnsi="Times New Roman" w:eastAsia="黑体" w:cs="Times New Roman"/>
          <w:bCs/>
          <w:sz w:val="44"/>
          <w:szCs w:val="44"/>
          <w:lang w:eastAsia="zh-CN"/>
        </w:rPr>
        <w:t>三门峡经济开发区财政审计部</w:t>
      </w:r>
    </w:p>
    <w:p>
      <w:pPr>
        <w:keepNext w:val="0"/>
        <w:keepLines w:val="0"/>
        <w:pageBreakBefore w:val="0"/>
        <w:widowControl w:val="0"/>
        <w:wordWrap/>
        <w:topLinePunct w:val="0"/>
        <w:bidi w:val="0"/>
        <w:adjustRightInd/>
        <w:snapToGrid/>
        <w:spacing w:line="620" w:lineRule="exact"/>
        <w:jc w:val="center"/>
        <w:textAlignment w:val="auto"/>
        <w:rPr>
          <w:rFonts w:hint="default" w:ascii="Times New Roman" w:hAnsi="Times New Roman" w:eastAsia="黑体" w:cs="Times New Roman"/>
          <w:bCs/>
          <w:sz w:val="44"/>
          <w:szCs w:val="44"/>
        </w:rPr>
      </w:pPr>
      <w:r>
        <w:rPr>
          <w:rFonts w:hint="default" w:ascii="Times New Roman" w:hAnsi="Times New Roman" w:eastAsia="黑体" w:cs="Times New Roman"/>
          <w:bCs/>
          <w:sz w:val="44"/>
          <w:szCs w:val="44"/>
        </w:rPr>
        <w:t>预算公开</w:t>
      </w:r>
    </w:p>
    <w:p>
      <w:pPr>
        <w:keepNext w:val="0"/>
        <w:keepLines w:val="0"/>
        <w:pageBreakBefore w:val="0"/>
        <w:widowControl w:val="0"/>
        <w:wordWrap/>
        <w:topLinePunct w:val="0"/>
        <w:bidi w:val="0"/>
        <w:adjustRightInd/>
        <w:snapToGrid/>
        <w:spacing w:line="620" w:lineRule="exact"/>
        <w:jc w:val="center"/>
        <w:textAlignment w:val="auto"/>
        <w:rPr>
          <w:rFonts w:hint="default" w:ascii="Times New Roman" w:hAnsi="Times New Roman" w:eastAsia="黑体" w:cs="Times New Roman"/>
          <w:bCs/>
          <w:sz w:val="44"/>
          <w:szCs w:val="44"/>
        </w:rPr>
      </w:pPr>
    </w:p>
    <w:p>
      <w:pPr>
        <w:keepNext w:val="0"/>
        <w:keepLines w:val="0"/>
        <w:pageBreakBefore w:val="0"/>
        <w:widowControl w:val="0"/>
        <w:wordWrap/>
        <w:topLinePunct w:val="0"/>
        <w:bidi w:val="0"/>
        <w:adjustRightInd/>
        <w:snapToGrid/>
        <w:spacing w:line="620" w:lineRule="exact"/>
        <w:jc w:val="center"/>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目 录</w:t>
      </w:r>
    </w:p>
    <w:p>
      <w:pPr>
        <w:keepNext w:val="0"/>
        <w:keepLines w:val="0"/>
        <w:pageBreakBefore w:val="0"/>
        <w:widowControl w:val="0"/>
        <w:wordWrap/>
        <w:topLinePunct w:val="0"/>
        <w:bidi w:val="0"/>
        <w:adjustRightInd/>
        <w:snapToGrid/>
        <w:spacing w:line="620" w:lineRule="exact"/>
        <w:ind w:firstLine="640" w:firstLineChars="20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第一部分  三门峡经济开发区财政审计部概况</w:t>
      </w:r>
    </w:p>
    <w:p>
      <w:pPr>
        <w:pStyle w:val="8"/>
        <w:keepNext w:val="0"/>
        <w:keepLines w:val="0"/>
        <w:pageBreakBefore w:val="0"/>
        <w:widowControl w:val="0"/>
        <w:numPr>
          <w:ilvl w:val="0"/>
          <w:numId w:val="0"/>
        </w:numPr>
        <w:wordWrap/>
        <w:topLinePunct w:val="0"/>
        <w:bidi w:val="0"/>
        <w:adjustRightInd/>
        <w:snapToGrid/>
        <w:spacing w:line="620" w:lineRule="exact"/>
        <w:ind w:left="643" w:leftChars="0"/>
        <w:jc w:val="left"/>
        <w:textAlignment w:val="auto"/>
        <w:rPr>
          <w:rFonts w:hint="default" w:ascii="Times New Roman" w:hAnsi="Times New Roman" w:eastAsia="仿宋_GB2312" w:cs="Times New Roman"/>
          <w:bCs/>
          <w:sz w:val="32"/>
          <w:szCs w:val="32"/>
        </w:rPr>
      </w:pPr>
      <w:r>
        <w:rPr>
          <w:rFonts w:hint="eastAsia" w:ascii="Times New Roman" w:hAnsi="Times New Roman" w:eastAsia="仿宋_GB2312" w:cs="Times New Roman"/>
          <w:bCs/>
          <w:sz w:val="32"/>
          <w:szCs w:val="32"/>
          <w:lang w:eastAsia="zh-CN"/>
        </w:rPr>
        <w:t>一、</w:t>
      </w:r>
      <w:r>
        <w:rPr>
          <w:rFonts w:hint="default" w:ascii="Times New Roman" w:hAnsi="Times New Roman" w:eastAsia="仿宋_GB2312" w:cs="Times New Roman"/>
          <w:bCs/>
          <w:sz w:val="32"/>
          <w:szCs w:val="32"/>
        </w:rPr>
        <w:t>主要职能</w:t>
      </w:r>
    </w:p>
    <w:p>
      <w:pPr>
        <w:pStyle w:val="8"/>
        <w:keepNext w:val="0"/>
        <w:keepLines w:val="0"/>
        <w:pageBreakBefore w:val="0"/>
        <w:widowControl w:val="0"/>
        <w:numPr>
          <w:ilvl w:val="0"/>
          <w:numId w:val="0"/>
        </w:numPr>
        <w:wordWrap/>
        <w:topLinePunct w:val="0"/>
        <w:bidi w:val="0"/>
        <w:adjustRightInd/>
        <w:snapToGrid/>
        <w:spacing w:line="620" w:lineRule="exact"/>
        <w:ind w:left="643" w:leftChars="0"/>
        <w:jc w:val="left"/>
        <w:textAlignment w:val="auto"/>
        <w:rPr>
          <w:rFonts w:hint="eastAsia" w:ascii="Times New Roman" w:hAnsi="Times New Roman" w:eastAsia="仿宋_GB2312" w:cs="Times New Roman"/>
          <w:bCs/>
          <w:sz w:val="32"/>
          <w:szCs w:val="32"/>
          <w:lang w:eastAsia="zh-CN"/>
        </w:rPr>
      </w:pPr>
      <w:r>
        <w:rPr>
          <w:rFonts w:hint="eastAsia" w:ascii="Times New Roman" w:hAnsi="Times New Roman" w:eastAsia="仿宋_GB2312" w:cs="Times New Roman"/>
          <w:bCs/>
          <w:sz w:val="32"/>
          <w:szCs w:val="32"/>
          <w:lang w:eastAsia="zh-CN"/>
        </w:rPr>
        <w:t>二、机构设置</w:t>
      </w:r>
    </w:p>
    <w:p>
      <w:pPr>
        <w:pStyle w:val="8"/>
        <w:keepNext w:val="0"/>
        <w:keepLines w:val="0"/>
        <w:pageBreakBefore w:val="0"/>
        <w:widowControl w:val="0"/>
        <w:numPr>
          <w:ilvl w:val="0"/>
          <w:numId w:val="0"/>
        </w:numPr>
        <w:wordWrap/>
        <w:topLinePunct w:val="0"/>
        <w:bidi w:val="0"/>
        <w:adjustRightInd/>
        <w:snapToGrid/>
        <w:spacing w:line="620" w:lineRule="exact"/>
        <w:ind w:left="643" w:leftChars="0"/>
        <w:jc w:val="left"/>
        <w:textAlignment w:val="auto"/>
        <w:rPr>
          <w:rFonts w:hint="eastAsia" w:ascii="Times New Roman" w:hAnsi="Times New Roman" w:eastAsia="仿宋_GB2312" w:cs="Times New Roman"/>
          <w:bCs/>
          <w:sz w:val="32"/>
          <w:szCs w:val="32"/>
          <w:lang w:eastAsia="zh-CN"/>
        </w:rPr>
      </w:pPr>
      <w:r>
        <w:rPr>
          <w:rFonts w:hint="eastAsia" w:ascii="Times New Roman" w:hAnsi="Times New Roman" w:eastAsia="仿宋_GB2312" w:cs="Times New Roman"/>
          <w:bCs/>
          <w:sz w:val="32"/>
          <w:szCs w:val="32"/>
          <w:lang w:eastAsia="zh-CN"/>
        </w:rPr>
        <w:t>三、部门所属</w:t>
      </w:r>
      <w:r>
        <w:rPr>
          <w:rFonts w:hint="default" w:ascii="Times New Roman" w:hAnsi="Times New Roman" w:eastAsia="仿宋_GB2312" w:cs="Times New Roman"/>
          <w:bCs/>
          <w:sz w:val="32"/>
          <w:szCs w:val="32"/>
        </w:rPr>
        <w:t>预算</w:t>
      </w:r>
      <w:r>
        <w:rPr>
          <w:rFonts w:hint="eastAsia" w:ascii="Times New Roman" w:hAnsi="Times New Roman" w:eastAsia="仿宋_GB2312" w:cs="Times New Roman"/>
          <w:bCs/>
          <w:sz w:val="32"/>
          <w:szCs w:val="32"/>
          <w:lang w:eastAsia="zh-CN"/>
        </w:rPr>
        <w:t>单位构成情况</w:t>
      </w:r>
    </w:p>
    <w:p>
      <w:pPr>
        <w:keepNext w:val="0"/>
        <w:keepLines w:val="0"/>
        <w:pageBreakBefore w:val="0"/>
        <w:widowControl w:val="0"/>
        <w:wordWrap/>
        <w:topLinePunct w:val="0"/>
        <w:bidi w:val="0"/>
        <w:adjustRightInd/>
        <w:snapToGrid/>
        <w:spacing w:line="620" w:lineRule="exact"/>
        <w:ind w:firstLine="640" w:firstLineChars="20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第二部分  三门峡经济开发区财政审计部</w:t>
      </w:r>
      <w:r>
        <w:rPr>
          <w:rFonts w:hint="eastAsia" w:ascii="Times New Roman" w:hAnsi="Times New Roman" w:eastAsia="仿宋_GB2312" w:cs="Times New Roman"/>
          <w:bCs/>
          <w:sz w:val="32"/>
          <w:szCs w:val="32"/>
          <w:lang w:eastAsia="zh-CN"/>
        </w:rPr>
        <w:t>2024</w:t>
      </w:r>
      <w:r>
        <w:rPr>
          <w:rFonts w:hint="default" w:ascii="Times New Roman" w:hAnsi="Times New Roman" w:eastAsia="仿宋_GB2312" w:cs="Times New Roman"/>
          <w:bCs/>
          <w:sz w:val="32"/>
          <w:szCs w:val="32"/>
        </w:rPr>
        <w:t>年度部门预算情况说明</w:t>
      </w:r>
    </w:p>
    <w:p>
      <w:pPr>
        <w:keepNext w:val="0"/>
        <w:keepLines w:val="0"/>
        <w:pageBreakBefore w:val="0"/>
        <w:widowControl w:val="0"/>
        <w:wordWrap/>
        <w:topLinePunct w:val="0"/>
        <w:bidi w:val="0"/>
        <w:adjustRightInd/>
        <w:snapToGrid/>
        <w:spacing w:line="620" w:lineRule="exact"/>
        <w:ind w:firstLine="640" w:firstLineChars="20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第三部分  名词解释</w:t>
      </w:r>
    </w:p>
    <w:p>
      <w:pPr>
        <w:keepNext w:val="0"/>
        <w:keepLines w:val="0"/>
        <w:pageBreakBefore w:val="0"/>
        <w:widowControl w:val="0"/>
        <w:wordWrap/>
        <w:topLinePunct w:val="0"/>
        <w:bidi w:val="0"/>
        <w:adjustRightInd/>
        <w:snapToGrid/>
        <w:spacing w:line="620" w:lineRule="exact"/>
        <w:ind w:firstLine="640" w:firstLineChars="20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附件：三门峡经济开发区财政审计部</w:t>
      </w:r>
      <w:r>
        <w:rPr>
          <w:rFonts w:hint="eastAsia" w:ascii="Times New Roman" w:hAnsi="Times New Roman" w:eastAsia="仿宋_GB2312" w:cs="Times New Roman"/>
          <w:bCs/>
          <w:sz w:val="32"/>
          <w:szCs w:val="32"/>
          <w:lang w:eastAsia="zh-CN"/>
        </w:rPr>
        <w:t>2024</w:t>
      </w:r>
      <w:r>
        <w:rPr>
          <w:rFonts w:hint="default" w:ascii="Times New Roman" w:hAnsi="Times New Roman" w:eastAsia="仿宋_GB2312" w:cs="Times New Roman"/>
          <w:bCs/>
          <w:sz w:val="32"/>
          <w:szCs w:val="32"/>
        </w:rPr>
        <w:t>年度部门预算表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一、部门收支总体情况表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二、部门收入总体情况表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三、部门支出总体情况表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四、财政拨款收支</w:t>
      </w:r>
      <w:r>
        <w:rPr>
          <w:rFonts w:hint="eastAsia" w:ascii="Times New Roman" w:hAnsi="Times New Roman" w:eastAsia="仿宋_GB2312" w:cs="Times New Roman"/>
          <w:bCs/>
          <w:sz w:val="32"/>
          <w:szCs w:val="32"/>
          <w:lang w:eastAsia="zh-CN"/>
        </w:rPr>
        <w:t>总体</w:t>
      </w:r>
      <w:r>
        <w:rPr>
          <w:rFonts w:hint="default" w:ascii="Times New Roman" w:hAnsi="Times New Roman" w:eastAsia="仿宋_GB2312" w:cs="Times New Roman"/>
          <w:bCs/>
          <w:sz w:val="32"/>
          <w:szCs w:val="32"/>
        </w:rPr>
        <w:t>情况表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五、一般公共预算支出情况表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六、一般公共预算基本支出</w:t>
      </w:r>
      <w:r>
        <w:rPr>
          <w:rFonts w:hint="eastAsia" w:ascii="Times New Roman" w:hAnsi="Times New Roman" w:eastAsia="仿宋_GB2312" w:cs="Times New Roman"/>
          <w:bCs/>
          <w:sz w:val="32"/>
          <w:szCs w:val="32"/>
          <w:lang w:eastAsia="zh-CN"/>
        </w:rPr>
        <w:t>情况</w:t>
      </w:r>
      <w:r>
        <w:rPr>
          <w:rFonts w:hint="default" w:ascii="Times New Roman" w:hAnsi="Times New Roman" w:eastAsia="仿宋_GB2312" w:cs="Times New Roman"/>
          <w:bCs/>
          <w:sz w:val="32"/>
          <w:szCs w:val="32"/>
        </w:rPr>
        <w:t>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七、</w:t>
      </w:r>
      <w:r>
        <w:rPr>
          <w:rFonts w:hint="eastAsia" w:ascii="Times New Roman" w:hAnsi="Times New Roman" w:eastAsia="仿宋_GB2312" w:cs="Times New Roman"/>
          <w:bCs/>
          <w:sz w:val="32"/>
          <w:szCs w:val="32"/>
          <w:lang w:eastAsia="zh-CN"/>
        </w:rPr>
        <w:t>支出经济分类汇总</w:t>
      </w:r>
      <w:r>
        <w:rPr>
          <w:rFonts w:hint="default" w:ascii="Times New Roman" w:hAnsi="Times New Roman" w:eastAsia="仿宋_GB2312" w:cs="Times New Roman"/>
          <w:bCs/>
          <w:sz w:val="32"/>
          <w:szCs w:val="32"/>
        </w:rPr>
        <w:t>表</w:t>
      </w:r>
    </w:p>
    <w:p>
      <w:pPr>
        <w:pStyle w:val="8"/>
        <w:keepNext w:val="0"/>
        <w:keepLines w:val="0"/>
        <w:pageBreakBefore w:val="0"/>
        <w:widowControl w:val="0"/>
        <w:wordWrap/>
        <w:topLinePunct w:val="0"/>
        <w:bidi w:val="0"/>
        <w:adjustRightInd/>
        <w:snapToGrid/>
        <w:spacing w:line="620" w:lineRule="exact"/>
        <w:ind w:firstLine="640"/>
        <w:jc w:val="left"/>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八、一般公共预算“三公”经费支出情况表</w:t>
      </w:r>
    </w:p>
    <w:p>
      <w:pPr>
        <w:pStyle w:val="8"/>
        <w:keepNext w:val="0"/>
        <w:keepLines w:val="0"/>
        <w:pageBreakBefore w:val="0"/>
        <w:widowControl w:val="0"/>
        <w:wordWrap/>
        <w:topLinePunct w:val="0"/>
        <w:bidi w:val="0"/>
        <w:adjustRightInd/>
        <w:snapToGrid/>
        <w:spacing w:line="620" w:lineRule="exact"/>
        <w:jc w:val="left"/>
        <w:textAlignment w:val="auto"/>
        <w:rPr>
          <w:rFonts w:hint="eastAsia"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九、</w:t>
      </w:r>
      <w:r>
        <w:rPr>
          <w:rFonts w:hint="eastAsia" w:ascii="Times New Roman" w:hAnsi="Times New Roman" w:eastAsia="仿宋_GB2312" w:cs="Times New Roman"/>
          <w:b w:val="0"/>
          <w:bCs/>
          <w:sz w:val="32"/>
          <w:szCs w:val="32"/>
          <w:lang w:val="en-US" w:eastAsia="zh-CN"/>
        </w:rPr>
        <w:t>政府性基金预算支出情况表</w:t>
      </w:r>
    </w:p>
    <w:p>
      <w:pPr>
        <w:pStyle w:val="8"/>
        <w:keepNext w:val="0"/>
        <w:keepLines w:val="0"/>
        <w:pageBreakBefore w:val="0"/>
        <w:widowControl w:val="0"/>
        <w:wordWrap/>
        <w:topLinePunct w:val="0"/>
        <w:bidi w:val="0"/>
        <w:adjustRightInd/>
        <w:snapToGrid/>
        <w:spacing w:line="620" w:lineRule="exact"/>
        <w:jc w:val="left"/>
        <w:textAlignment w:val="auto"/>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十、项目支出预算表</w:t>
      </w:r>
    </w:p>
    <w:p>
      <w:pPr>
        <w:pStyle w:val="8"/>
        <w:keepNext w:val="0"/>
        <w:keepLines w:val="0"/>
        <w:pageBreakBefore w:val="0"/>
        <w:widowControl w:val="0"/>
        <w:wordWrap/>
        <w:topLinePunct w:val="0"/>
        <w:bidi w:val="0"/>
        <w:adjustRightInd/>
        <w:snapToGrid/>
        <w:spacing w:line="620" w:lineRule="exact"/>
        <w:jc w:val="left"/>
        <w:textAlignment w:val="auto"/>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十一、部门（单位）整体绩效目标表</w:t>
      </w:r>
    </w:p>
    <w:p>
      <w:pPr>
        <w:pStyle w:val="8"/>
        <w:keepNext w:val="0"/>
        <w:keepLines w:val="0"/>
        <w:pageBreakBefore w:val="0"/>
        <w:widowControl w:val="0"/>
        <w:wordWrap/>
        <w:topLinePunct w:val="0"/>
        <w:bidi w:val="0"/>
        <w:adjustRightInd/>
        <w:snapToGrid/>
        <w:spacing w:line="620" w:lineRule="exact"/>
        <w:jc w:val="left"/>
        <w:textAlignment w:val="auto"/>
        <w:rPr>
          <w:rFonts w:hint="default"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十二、部门预算项目绩效目标汇总表</w:t>
      </w: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t>第一部分</w:t>
      </w:r>
    </w:p>
    <w:p>
      <w:pPr>
        <w:pStyle w:val="8"/>
        <w:keepNext w:val="0"/>
        <w:keepLines w:val="0"/>
        <w:pageBreakBefore w:val="0"/>
        <w:widowControl w:val="0"/>
        <w:wordWrap/>
        <w:topLinePunct w:val="0"/>
        <w:bidi w:val="0"/>
        <w:adjustRightInd/>
        <w:snapToGrid/>
        <w:spacing w:line="620" w:lineRule="exact"/>
        <w:ind w:firstLine="0" w:firstLineChars="0"/>
        <w:jc w:val="center"/>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kern w:val="2"/>
          <w:sz w:val="32"/>
          <w:szCs w:val="32"/>
          <w:lang w:val="en-US" w:eastAsia="zh-CN" w:bidi="ar-SA"/>
        </w:rPr>
        <w:t>三门峡经济开发区财政审计部</w:t>
      </w:r>
      <w:r>
        <w:rPr>
          <w:rFonts w:hint="eastAsia" w:ascii="Times New Roman" w:hAnsi="Times New Roman" w:eastAsia="黑体" w:cs="Times New Roman"/>
          <w:kern w:val="2"/>
          <w:sz w:val="32"/>
          <w:szCs w:val="32"/>
          <w:lang w:val="en-US" w:eastAsia="zh-CN" w:bidi="ar-SA"/>
        </w:rPr>
        <w:t>部门</w:t>
      </w:r>
      <w:r>
        <w:rPr>
          <w:rFonts w:hint="default" w:ascii="Times New Roman" w:hAnsi="Times New Roman" w:eastAsia="黑体" w:cs="Times New Roman"/>
          <w:kern w:val="2"/>
          <w:sz w:val="32"/>
          <w:szCs w:val="32"/>
          <w:lang w:val="en-US" w:eastAsia="zh-CN" w:bidi="ar-SA"/>
        </w:rPr>
        <w:t>概况</w:t>
      </w:r>
    </w:p>
    <w:p>
      <w:pPr>
        <w:pStyle w:val="8"/>
        <w:keepNext w:val="0"/>
        <w:keepLines w:val="0"/>
        <w:pageBreakBefore w:val="0"/>
        <w:widowControl w:val="0"/>
        <w:numPr>
          <w:ilvl w:val="0"/>
          <w:numId w:val="0"/>
        </w:numPr>
        <w:wordWrap/>
        <w:topLinePunct w:val="0"/>
        <w:bidi w:val="0"/>
        <w:adjustRightInd/>
        <w:snapToGrid/>
        <w:spacing w:line="62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一、三门峡经济开发区财政审计部部门主要职责</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（一）负责编制年度预决算草案并组织执行，审核批复部门（单位）年度预决算。</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（二）负责国库现金调度及管理，组织实施预算绩效管理、政府非税收入管理、政府采购活动监督。</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（三）负责执行地方政府债务管理制度和办法，管理和控制地方政府债务。</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（四）负责监督财税法规、政策的执行情况，加强国有资产监管。</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五）根据《审计法》相关规定，负责对上级重大政策措施贯彻落实情况进行跟踪审计，对法律法规规定属于审计监督范围的财务收支的真实、合法和效益进行审计监督，对公共资金、国有资产、国有资源和领导干部履行经济责任情况实行审计，对领导干部实行离任及任中审计。</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（六）承担金融工作相关职责。</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二、机构设置</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三门峡经济开发区财政审计部内设机构四个，包括：综合管理科、预算科、预算执行科、审计科（加挂金融监管科牌子）。</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三门峡经济开发区财政审计部部门预算单位构成情况</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cs="Times New Roman"/>
          <w:b w:val="0"/>
          <w:bCs/>
          <w:sz w:val="32"/>
          <w:szCs w:val="32"/>
          <w:lang w:val="en-US" w:eastAsia="zh-CN"/>
        </w:rPr>
        <w:t>根据部门预算管理有关规定，本预算为汇总预算，三门峡经济开发区财政审计部只有机关本级单位预算，无二级预算单位。</w:t>
      </w:r>
    </w:p>
    <w:p>
      <w:pPr>
        <w:keepNext w:val="0"/>
        <w:keepLines w:val="0"/>
        <w:pageBreakBefore w:val="0"/>
        <w:widowControl w:val="0"/>
        <w:wordWrap/>
        <w:topLinePunct w:val="0"/>
        <w:bidi w:val="0"/>
        <w:adjustRightInd/>
        <w:snapToGrid/>
        <w:spacing w:line="62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第二部分</w:t>
      </w:r>
    </w:p>
    <w:p>
      <w:pPr>
        <w:keepNext w:val="0"/>
        <w:keepLines w:val="0"/>
        <w:pageBreakBefore w:val="0"/>
        <w:widowControl w:val="0"/>
        <w:wordWrap/>
        <w:topLinePunct w:val="0"/>
        <w:bidi w:val="0"/>
        <w:adjustRightInd/>
        <w:snapToGrid/>
        <w:spacing w:line="620" w:lineRule="exact"/>
        <w:jc w:val="center"/>
        <w:textAlignment w:val="auto"/>
        <w:rPr>
          <w:rFonts w:hint="eastAsia" w:ascii="黑体" w:hAnsi="黑体" w:eastAsia="黑体" w:cs="黑体"/>
          <w:b/>
          <w:bCs/>
          <w:sz w:val="32"/>
          <w:szCs w:val="32"/>
        </w:rPr>
      </w:pPr>
      <w:r>
        <w:rPr>
          <w:rFonts w:hint="eastAsia" w:ascii="黑体" w:hAnsi="黑体" w:eastAsia="黑体" w:cs="黑体"/>
          <w:b w:val="0"/>
          <w:bCs w:val="0"/>
          <w:kern w:val="2"/>
          <w:sz w:val="32"/>
          <w:szCs w:val="32"/>
          <w:lang w:val="en-US" w:eastAsia="zh-CN" w:bidi="ar-SA"/>
        </w:rPr>
        <w:t>三门峡经济开发区财政审计部</w:t>
      </w:r>
      <w:r>
        <w:rPr>
          <w:rFonts w:hint="eastAsia" w:ascii="黑体" w:hAnsi="黑体" w:eastAsia="黑体" w:cs="黑体"/>
          <w:b w:val="0"/>
          <w:bCs w:val="0"/>
          <w:sz w:val="32"/>
          <w:szCs w:val="32"/>
        </w:rPr>
        <w:t>2</w:t>
      </w:r>
      <w:r>
        <w:rPr>
          <w:rFonts w:hint="eastAsia" w:ascii="黑体" w:hAnsi="黑体" w:eastAsia="黑体" w:cs="黑体"/>
          <w:sz w:val="32"/>
          <w:szCs w:val="32"/>
        </w:rPr>
        <w:t>0</w:t>
      </w:r>
      <w:r>
        <w:rPr>
          <w:rFonts w:hint="eastAsia" w:ascii="黑体" w:hAnsi="黑体" w:eastAsia="黑体" w:cs="黑体"/>
          <w:sz w:val="32"/>
          <w:szCs w:val="32"/>
          <w:lang w:val="en-US" w:eastAsia="zh-CN"/>
        </w:rPr>
        <w:t>24</w:t>
      </w:r>
      <w:r>
        <w:rPr>
          <w:rFonts w:hint="eastAsia" w:ascii="黑体" w:hAnsi="黑体" w:eastAsia="黑体" w:cs="黑体"/>
          <w:sz w:val="32"/>
          <w:szCs w:val="32"/>
        </w:rPr>
        <w:t>年度部门预算情况说明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一、收入支出预算总体情况说明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sz w:val="32"/>
          <w:szCs w:val="32"/>
        </w:rPr>
        <w:t>三门峡经济开发区财政审计部</w:t>
      </w:r>
      <w:r>
        <w:rPr>
          <w:rFonts w:hint="eastAsia"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年收入总计</w:t>
      </w:r>
      <w:r>
        <w:rPr>
          <w:rFonts w:hint="eastAsia" w:ascii="Times New Roman" w:hAnsi="Times New Roman" w:eastAsia="仿宋_GB2312" w:cs="Times New Roman"/>
          <w:sz w:val="32"/>
          <w:szCs w:val="32"/>
          <w:lang w:val="en-US" w:eastAsia="zh-CN"/>
        </w:rPr>
        <w:t>402.3</w:t>
      </w:r>
      <w:r>
        <w:rPr>
          <w:rFonts w:hint="default" w:ascii="Times New Roman" w:hAnsi="Times New Roman" w:eastAsia="仿宋_GB2312" w:cs="Times New Roman"/>
          <w:sz w:val="32"/>
          <w:szCs w:val="32"/>
        </w:rPr>
        <w:t>万元，支出总计</w:t>
      </w:r>
      <w:r>
        <w:rPr>
          <w:rFonts w:hint="eastAsia" w:ascii="Times New Roman" w:hAnsi="Times New Roman" w:eastAsia="仿宋_GB2312" w:cs="Times New Roman"/>
          <w:sz w:val="32"/>
          <w:szCs w:val="32"/>
          <w:lang w:val="en-US" w:eastAsia="zh-CN"/>
        </w:rPr>
        <w:t>402.3</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b w:val="0"/>
          <w:bCs w:val="0"/>
          <w:sz w:val="32"/>
          <w:szCs w:val="32"/>
        </w:rPr>
        <w:t>与20</w:t>
      </w:r>
      <w:r>
        <w:rPr>
          <w:rFonts w:hint="default" w:ascii="Times New Roman" w:hAnsi="Times New Roman" w:eastAsia="仿宋_GB2312" w:cs="Times New Roman"/>
          <w:b w:val="0"/>
          <w:bCs w:val="0"/>
          <w:sz w:val="32"/>
          <w:szCs w:val="32"/>
          <w:lang w:val="en-US" w:eastAsia="zh-CN"/>
        </w:rPr>
        <w:t>2</w:t>
      </w:r>
      <w:r>
        <w:rPr>
          <w:rFonts w:hint="eastAsia" w:ascii="Times New Roman" w:hAnsi="Times New Roman" w:eastAsia="仿宋_GB2312" w:cs="Times New Roman"/>
          <w:b w:val="0"/>
          <w:bCs w:val="0"/>
          <w:sz w:val="32"/>
          <w:szCs w:val="32"/>
          <w:lang w:val="en-US" w:eastAsia="zh-CN"/>
        </w:rPr>
        <w:t>3</w:t>
      </w:r>
      <w:r>
        <w:rPr>
          <w:rFonts w:hint="default" w:ascii="Times New Roman" w:hAnsi="Times New Roman" w:eastAsia="仿宋_GB2312" w:cs="Times New Roman"/>
          <w:b w:val="0"/>
          <w:bCs w:val="0"/>
          <w:sz w:val="32"/>
          <w:szCs w:val="32"/>
        </w:rPr>
        <w:t>年相比，</w:t>
      </w:r>
      <w:r>
        <w:rPr>
          <w:rFonts w:hint="eastAsia" w:ascii="Times New Roman" w:hAnsi="Times New Roman" w:eastAsia="仿宋_GB2312" w:cs="Times New Roman"/>
          <w:b w:val="0"/>
          <w:bCs w:val="0"/>
          <w:sz w:val="32"/>
          <w:szCs w:val="32"/>
          <w:lang w:eastAsia="zh-CN"/>
        </w:rPr>
        <w:t>收入减少</w:t>
      </w:r>
      <w:r>
        <w:rPr>
          <w:rFonts w:hint="eastAsia" w:ascii="Times New Roman" w:hAnsi="Times New Roman" w:eastAsia="仿宋_GB2312" w:cs="Times New Roman"/>
          <w:b w:val="0"/>
          <w:bCs w:val="0"/>
          <w:sz w:val="32"/>
          <w:szCs w:val="32"/>
          <w:lang w:val="en-US" w:eastAsia="zh-CN"/>
        </w:rPr>
        <w:t>114.3</w:t>
      </w:r>
      <w:r>
        <w:rPr>
          <w:rFonts w:hint="eastAsia" w:ascii="Times New Roman" w:hAnsi="Times New Roman" w:eastAsia="仿宋_GB2312" w:cs="Times New Roman"/>
          <w:b w:val="0"/>
          <w:bCs w:val="0"/>
          <w:sz w:val="32"/>
          <w:szCs w:val="32"/>
          <w:lang w:eastAsia="zh-CN"/>
        </w:rPr>
        <w:t>万元，减少</w:t>
      </w:r>
      <w:r>
        <w:rPr>
          <w:rFonts w:hint="eastAsia" w:ascii="Times New Roman" w:hAnsi="Times New Roman" w:eastAsia="仿宋_GB2312" w:cs="Times New Roman"/>
          <w:b w:val="0"/>
          <w:bCs w:val="0"/>
          <w:sz w:val="32"/>
          <w:szCs w:val="32"/>
          <w:lang w:val="en-US" w:eastAsia="zh-CN"/>
        </w:rPr>
        <w:t>22%。主要原因是：财政收支压力较大，故压减部门收入支出。支出减少114.3万元，减少22%。主要原因是：财政收支压力较大，故压减部门收入支出。</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二、收入预算总体情况说明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三门峡经济开发区财政审计部</w:t>
      </w:r>
      <w:r>
        <w:rPr>
          <w:rFonts w:hint="eastAsia" w:ascii="Times New Roman" w:hAnsi="Times New Roman" w:eastAsia="仿宋_GB2312" w:cs="Times New Roman"/>
          <w:sz w:val="32"/>
          <w:szCs w:val="32"/>
          <w:lang w:val="en-US" w:eastAsia="zh-CN"/>
        </w:rPr>
        <w:t>2024年</w:t>
      </w:r>
      <w:r>
        <w:rPr>
          <w:rFonts w:hint="default" w:ascii="Times New Roman" w:hAnsi="Times New Roman" w:eastAsia="仿宋_GB2312" w:cs="Times New Roman"/>
          <w:sz w:val="32"/>
          <w:szCs w:val="32"/>
        </w:rPr>
        <w:t>收入合计</w:t>
      </w:r>
      <w:r>
        <w:rPr>
          <w:rFonts w:hint="eastAsia" w:ascii="Times New Roman" w:hAnsi="Times New Roman" w:eastAsia="仿宋_GB2312" w:cs="Times New Roman"/>
          <w:sz w:val="32"/>
          <w:szCs w:val="32"/>
          <w:lang w:val="en-US" w:eastAsia="zh-CN"/>
        </w:rPr>
        <w:t>402.3</w:t>
      </w:r>
      <w:r>
        <w:rPr>
          <w:rFonts w:hint="default"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lang w:val="en-US" w:eastAsia="zh-CN"/>
        </w:rPr>
        <w:t>402.3</w:t>
      </w:r>
      <w:r>
        <w:rPr>
          <w:rFonts w:hint="default" w:ascii="Times New Roman" w:hAnsi="Times New Roman" w:eastAsia="仿宋_GB2312" w:cs="Times New Roman"/>
          <w:sz w:val="32"/>
          <w:szCs w:val="32"/>
        </w:rPr>
        <w:t>万元。</w:t>
      </w:r>
    </w:p>
    <w:p>
      <w:pPr>
        <w:keepNext w:val="0"/>
        <w:keepLines w:val="0"/>
        <w:pageBreakBefore w:val="0"/>
        <w:widowControl w:val="0"/>
        <w:numPr>
          <w:ilvl w:val="0"/>
          <w:numId w:val="0"/>
        </w:numPr>
        <w:wordWrap/>
        <w:topLinePunct w:val="0"/>
        <w:bidi w:val="0"/>
        <w:adjustRightInd/>
        <w:snapToGrid/>
        <w:spacing w:line="620" w:lineRule="exact"/>
        <w:ind w:leftChars="0"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支出预算总体情况说明</w:t>
      </w:r>
    </w:p>
    <w:p>
      <w:pPr>
        <w:keepNext w:val="0"/>
        <w:keepLines w:val="0"/>
        <w:pageBreakBefore w:val="0"/>
        <w:widowControl w:val="0"/>
        <w:numPr>
          <w:ilvl w:val="0"/>
          <w:numId w:val="0"/>
        </w:numPr>
        <w:wordWrap/>
        <w:topLinePunct w:val="0"/>
        <w:bidi w:val="0"/>
        <w:adjustRightInd/>
        <w:snapToGrid/>
        <w:spacing w:line="620" w:lineRule="exact"/>
        <w:ind w:leftChars="0" w:firstLine="640"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三门峡经济开发区财政审计部</w:t>
      </w:r>
      <w:r>
        <w:rPr>
          <w:rFonts w:hint="eastAsia" w:ascii="Times New Roman" w:hAnsi="Times New Roman" w:eastAsia="仿宋_GB2312" w:cs="Times New Roman"/>
          <w:b w:val="0"/>
          <w:bCs w:val="0"/>
          <w:sz w:val="32"/>
          <w:szCs w:val="32"/>
          <w:lang w:val="en-US" w:eastAsia="zh-CN"/>
        </w:rPr>
        <w:t>2024</w:t>
      </w:r>
      <w:r>
        <w:rPr>
          <w:rFonts w:hint="default" w:ascii="Times New Roman" w:hAnsi="Times New Roman" w:eastAsia="仿宋_GB2312" w:cs="Times New Roman"/>
          <w:sz w:val="32"/>
          <w:szCs w:val="32"/>
        </w:rPr>
        <w:t>年支出合计</w:t>
      </w:r>
      <w:r>
        <w:rPr>
          <w:rFonts w:hint="eastAsia" w:ascii="Times New Roman" w:hAnsi="Times New Roman" w:eastAsia="仿宋_GB2312" w:cs="Times New Roman"/>
          <w:sz w:val="32"/>
          <w:szCs w:val="32"/>
          <w:lang w:val="en-US" w:eastAsia="zh-CN"/>
        </w:rPr>
        <w:t>402.3</w:t>
      </w:r>
      <w:r>
        <w:rPr>
          <w:rFonts w:hint="default"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269.1</w:t>
      </w:r>
      <w:r>
        <w:rPr>
          <w:rFonts w:hint="default"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66.9</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133.2</w:t>
      </w:r>
      <w:r>
        <w:rPr>
          <w:rFonts w:hint="default"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33.1</w:t>
      </w:r>
      <w:r>
        <w:rPr>
          <w:rFonts w:hint="default" w:ascii="Times New Roman" w:hAnsi="Times New Roman" w:eastAsia="仿宋_GB2312" w:cs="Times New Roman"/>
          <w:sz w:val="32"/>
          <w:szCs w:val="32"/>
        </w:rPr>
        <w:t>%。</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四、财政拨款收入支出预算总体情况说明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sz w:val="32"/>
          <w:szCs w:val="32"/>
        </w:rPr>
        <w:t>三门峡经济开发区财政审计部</w:t>
      </w:r>
      <w:r>
        <w:rPr>
          <w:rFonts w:hint="eastAsia"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年一般公共预算</w:t>
      </w:r>
      <w:r>
        <w:rPr>
          <w:rFonts w:hint="eastAsia" w:ascii="Times New Roman" w:hAnsi="Times New Roman" w:eastAsia="仿宋_GB2312" w:cs="Times New Roman"/>
          <w:sz w:val="32"/>
          <w:szCs w:val="32"/>
          <w:lang w:eastAsia="zh-CN"/>
        </w:rPr>
        <w:t>收支预算</w:t>
      </w:r>
      <w:r>
        <w:rPr>
          <w:rFonts w:hint="eastAsia" w:ascii="Times New Roman" w:hAnsi="Times New Roman" w:eastAsia="仿宋_GB2312" w:cs="Times New Roman"/>
          <w:sz w:val="32"/>
          <w:szCs w:val="32"/>
          <w:lang w:val="en-US" w:eastAsia="zh-CN"/>
        </w:rPr>
        <w:t>402.3</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与20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年相比，一般公共预算收支预算</w:t>
      </w:r>
      <w:r>
        <w:rPr>
          <w:rFonts w:hint="eastAsia" w:ascii="Times New Roman" w:hAnsi="Times New Roman" w:eastAsia="仿宋_GB2312" w:cs="Times New Roman"/>
          <w:sz w:val="32"/>
          <w:szCs w:val="32"/>
          <w:lang w:eastAsia="zh-CN"/>
        </w:rPr>
        <w:t>减少</w:t>
      </w:r>
      <w:r>
        <w:rPr>
          <w:rFonts w:hint="eastAsia" w:ascii="Times New Roman" w:hAnsi="Times New Roman" w:eastAsia="仿宋_GB2312" w:cs="Times New Roman"/>
          <w:sz w:val="32"/>
          <w:szCs w:val="32"/>
          <w:lang w:val="en-US" w:eastAsia="zh-CN"/>
        </w:rPr>
        <w:t>114.3</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下降</w:t>
      </w:r>
      <w:r>
        <w:rPr>
          <w:rFonts w:hint="eastAsia" w:ascii="Times New Roman" w:hAnsi="Times New Roman" w:eastAsia="仿宋_GB2312" w:cs="Times New Roman"/>
          <w:sz w:val="32"/>
          <w:szCs w:val="32"/>
          <w:lang w:val="en-US" w:eastAsia="zh-CN"/>
        </w:rPr>
        <w:t>22%，主要原因是：</w:t>
      </w:r>
      <w:r>
        <w:rPr>
          <w:rFonts w:hint="eastAsia" w:ascii="Times New Roman" w:hAnsi="Times New Roman" w:eastAsia="仿宋_GB2312" w:cs="Times New Roman"/>
          <w:b w:val="0"/>
          <w:bCs w:val="0"/>
          <w:sz w:val="32"/>
          <w:szCs w:val="32"/>
          <w:lang w:val="en-US" w:eastAsia="zh-CN"/>
        </w:rPr>
        <w:t>财政收支压力较大，故压减部门收入支出</w:t>
      </w:r>
      <w:r>
        <w:rPr>
          <w:rFonts w:hint="default" w:ascii="Times New Roman" w:hAnsi="Times New Roman" w:eastAsia="仿宋_GB2312" w:cs="Times New Roman"/>
          <w:sz w:val="32"/>
          <w:szCs w:val="32"/>
          <w:lang w:eastAsia="zh-CN"/>
        </w:rPr>
        <w:t>。</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五、一般公共预算支出预算情况说明</w:t>
      </w:r>
    </w:p>
    <w:p>
      <w:pPr>
        <w:keepNext w:val="0"/>
        <w:keepLines w:val="0"/>
        <w:pageBreakBefore w:val="0"/>
        <w:widowControl w:val="0"/>
        <w:numPr>
          <w:ilvl w:val="0"/>
          <w:numId w:val="0"/>
        </w:numPr>
        <w:wordWrap/>
        <w:topLinePunct w:val="0"/>
        <w:bidi w:val="0"/>
        <w:adjustRightInd/>
        <w:snapToGrid/>
        <w:spacing w:line="620" w:lineRule="exact"/>
        <w:ind w:leftChars="0" w:firstLine="640" w:firstLineChars="200"/>
        <w:jc w:val="both"/>
        <w:textAlignment w:val="auto"/>
        <w:rPr>
          <w:rFonts w:hint="default" w:ascii="Times New Roman" w:hAnsi="Times New Roman" w:eastAsia="仿宋_GB2312" w:cs="Times New Roman"/>
          <w:color w:val="444444"/>
          <w:sz w:val="32"/>
          <w:szCs w:val="32"/>
          <w:shd w:val="clear" w:color="auto" w:fill="FFFFFF"/>
          <w:lang w:val="en-US" w:eastAsia="zh-CN"/>
        </w:rPr>
      </w:pPr>
      <w:r>
        <w:rPr>
          <w:rFonts w:hint="default" w:ascii="Times New Roman" w:hAnsi="Times New Roman" w:eastAsia="仿宋_GB2312" w:cs="Times New Roman"/>
          <w:sz w:val="32"/>
          <w:szCs w:val="32"/>
          <w:lang w:val="en-US" w:eastAsia="zh-CN"/>
        </w:rPr>
        <w:t>三门峡经济开发区财政审计部</w:t>
      </w:r>
      <w:r>
        <w:rPr>
          <w:rFonts w:hint="eastAsia" w:ascii="Times New Roman" w:hAnsi="Times New Roman" w:eastAsia="仿宋_GB2312" w:cs="Times New Roman"/>
          <w:sz w:val="32"/>
          <w:szCs w:val="32"/>
          <w:lang w:val="en-US" w:eastAsia="zh-CN"/>
        </w:rPr>
        <w:t>2024</w:t>
      </w:r>
      <w:r>
        <w:rPr>
          <w:rFonts w:hint="default" w:ascii="Times New Roman" w:hAnsi="Times New Roman" w:eastAsia="仿宋_GB2312" w:cs="Times New Roman"/>
          <w:sz w:val="32"/>
          <w:szCs w:val="32"/>
        </w:rPr>
        <w:t>年一般公共预算支出年初预算为</w:t>
      </w:r>
      <w:r>
        <w:rPr>
          <w:rFonts w:hint="eastAsia" w:ascii="Times New Roman" w:hAnsi="Times New Roman" w:eastAsia="仿宋_GB2312" w:cs="Times New Roman"/>
          <w:sz w:val="32"/>
          <w:szCs w:val="32"/>
          <w:lang w:val="en-US" w:eastAsia="zh-CN"/>
        </w:rPr>
        <w:t>402.3</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其中基本支出</w:t>
      </w:r>
      <w:r>
        <w:rPr>
          <w:rFonts w:hint="eastAsia" w:ascii="Times New Roman" w:hAnsi="Times New Roman" w:eastAsia="仿宋_GB2312" w:cs="Times New Roman"/>
          <w:sz w:val="32"/>
          <w:szCs w:val="32"/>
          <w:lang w:val="en-US" w:eastAsia="zh-CN"/>
        </w:rPr>
        <w:t>269.1万元，</w:t>
      </w:r>
      <w:r>
        <w:rPr>
          <w:rFonts w:hint="default" w:ascii="Times New Roman" w:hAnsi="Times New Roman" w:eastAsia="仿宋_GB2312" w:cs="Times New Roman"/>
          <w:sz w:val="32"/>
          <w:szCs w:val="32"/>
        </w:rPr>
        <w:t>占</w:t>
      </w:r>
      <w:r>
        <w:rPr>
          <w:rFonts w:hint="eastAsia" w:ascii="Times New Roman" w:hAnsi="Times New Roman" w:eastAsia="仿宋_GB2312" w:cs="Times New Roman"/>
          <w:sz w:val="32"/>
          <w:szCs w:val="32"/>
          <w:lang w:val="en-US" w:eastAsia="zh-CN"/>
        </w:rPr>
        <w:t>66.9</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133.2</w:t>
      </w:r>
      <w:r>
        <w:rPr>
          <w:rFonts w:hint="default"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33.1</w:t>
      </w:r>
      <w:r>
        <w:rPr>
          <w:rFonts w:hint="default" w:ascii="Times New Roman" w:hAnsi="Times New Roman" w:eastAsia="仿宋_GB2312" w:cs="Times New Roman"/>
          <w:sz w:val="32"/>
          <w:szCs w:val="32"/>
        </w:rPr>
        <w:t>%。</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六、</w:t>
      </w:r>
      <w:r>
        <w:rPr>
          <w:rFonts w:hint="eastAsia" w:ascii="黑体" w:hAnsi="黑体" w:eastAsia="黑体" w:cs="黑体"/>
          <w:b w:val="0"/>
          <w:bCs w:val="0"/>
          <w:sz w:val="32"/>
          <w:szCs w:val="32"/>
          <w:lang w:eastAsia="zh-CN"/>
        </w:rPr>
        <w:t>一般公共预算基本支出预算情况说明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三门峡经济开发区财政审计部</w:t>
      </w:r>
      <w:r>
        <w:rPr>
          <w:rFonts w:hint="eastAsia" w:ascii="Times New Roman" w:hAnsi="Times New Roman" w:eastAsia="仿宋_GB2312" w:cs="Times New Roman"/>
          <w:sz w:val="32"/>
          <w:szCs w:val="32"/>
          <w:lang w:val="en-US" w:eastAsia="zh-CN"/>
        </w:rPr>
        <w:t>2024</w:t>
      </w:r>
      <w:r>
        <w:rPr>
          <w:rFonts w:hint="default" w:ascii="Times New Roman" w:hAnsi="Times New Roman" w:eastAsia="仿宋_GB2312" w:cs="Times New Roman"/>
          <w:sz w:val="32"/>
          <w:szCs w:val="32"/>
        </w:rPr>
        <w:t>年一般公共预算基本支出</w:t>
      </w:r>
      <w:r>
        <w:rPr>
          <w:rFonts w:hint="eastAsia" w:ascii="Times New Roman" w:hAnsi="Times New Roman" w:eastAsia="仿宋_GB2312" w:cs="Times New Roman"/>
          <w:sz w:val="32"/>
          <w:szCs w:val="32"/>
          <w:lang w:eastAsia="zh-CN"/>
        </w:rPr>
        <w:t>年初预算为</w:t>
      </w:r>
      <w:r>
        <w:rPr>
          <w:rFonts w:hint="eastAsia" w:ascii="Times New Roman" w:hAnsi="Times New Roman" w:eastAsia="仿宋_GB2312" w:cs="Times New Roman"/>
          <w:sz w:val="32"/>
          <w:szCs w:val="32"/>
          <w:lang w:val="en-US" w:eastAsia="zh-CN"/>
        </w:rPr>
        <w:t>269.1</w:t>
      </w:r>
      <w:r>
        <w:rPr>
          <w:rFonts w:hint="default" w:ascii="Times New Roman" w:hAnsi="Times New Roman" w:eastAsia="仿宋_GB2312" w:cs="Times New Roman"/>
          <w:sz w:val="32"/>
          <w:szCs w:val="32"/>
        </w:rPr>
        <w:t>万元，其中：人员经费</w:t>
      </w:r>
      <w:r>
        <w:rPr>
          <w:rFonts w:hint="eastAsia" w:ascii="Times New Roman" w:hAnsi="Times New Roman" w:eastAsia="仿宋_GB2312" w:cs="Times New Roman"/>
          <w:sz w:val="32"/>
          <w:szCs w:val="32"/>
          <w:lang w:val="en-US" w:eastAsia="zh-CN"/>
        </w:rPr>
        <w:t>261</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占</w:t>
      </w:r>
      <w:r>
        <w:rPr>
          <w:rFonts w:hint="eastAsia" w:ascii="Times New Roman" w:hAnsi="Times New Roman" w:eastAsia="仿宋_GB2312" w:cs="Times New Roman"/>
          <w:sz w:val="32"/>
          <w:szCs w:val="32"/>
          <w:lang w:val="en-US" w:eastAsia="zh-CN"/>
        </w:rPr>
        <w:t>96.99%；</w:t>
      </w:r>
      <w:r>
        <w:rPr>
          <w:rFonts w:hint="default" w:ascii="Times New Roman" w:hAnsi="Times New Roman" w:eastAsia="仿宋_GB2312" w:cs="Times New Roman"/>
          <w:sz w:val="32"/>
          <w:szCs w:val="32"/>
        </w:rPr>
        <w:t>公用经费支出</w:t>
      </w:r>
      <w:r>
        <w:rPr>
          <w:rFonts w:hint="eastAsia" w:ascii="Times New Roman" w:hAnsi="Times New Roman" w:eastAsia="仿宋_GB2312" w:cs="Times New Roman"/>
          <w:sz w:val="32"/>
          <w:szCs w:val="32"/>
          <w:lang w:val="en-US" w:eastAsia="zh-CN"/>
        </w:rPr>
        <w:t>8.1</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占</w:t>
      </w:r>
      <w:r>
        <w:rPr>
          <w:rFonts w:hint="eastAsia" w:ascii="Times New Roman" w:hAnsi="Times New Roman" w:eastAsia="仿宋_GB2312" w:cs="Times New Roman"/>
          <w:sz w:val="32"/>
          <w:szCs w:val="32"/>
          <w:lang w:val="en-US" w:eastAsia="zh-CN"/>
        </w:rPr>
        <w:t>3.01%</w:t>
      </w:r>
      <w:r>
        <w:rPr>
          <w:rFonts w:hint="default" w:ascii="Times New Roman" w:hAnsi="Times New Roman" w:eastAsia="仿宋_GB2312" w:cs="Times New Roman"/>
          <w:sz w:val="32"/>
          <w:szCs w:val="32"/>
        </w:rPr>
        <w:t>。</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rPr>
      </w:pP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支出预算经济分类情况说明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按照《财政部关于印发&lt;支出经济分类科目改革方案&gt;的通知》（豫财预[2017]98号）要求，从201</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年起全面实施支出经济分类科目改革，根据政府预算管理和部门预算管理的不同特点，分设部门预算支出经济分类科目和政府预算支出经济科目，两套科目之间保持对应关系。为适应改革要求，</w:t>
      </w:r>
      <w:r>
        <w:rPr>
          <w:rFonts w:hint="eastAsia" w:ascii="Times New Roman" w:hAnsi="Times New Roman" w:eastAsia="仿宋_GB2312" w:cs="Times New Roman"/>
          <w:sz w:val="32"/>
          <w:szCs w:val="32"/>
          <w:lang w:eastAsia="zh-CN"/>
        </w:rPr>
        <w:t>我部门</w:t>
      </w:r>
      <w:r>
        <w:rPr>
          <w:rFonts w:hint="default" w:ascii="Times New Roman" w:hAnsi="Times New Roman" w:eastAsia="仿宋_GB2312" w:cs="Times New Roman"/>
          <w:sz w:val="32"/>
          <w:szCs w:val="32"/>
        </w:rPr>
        <w:t>《支出经济分类汇总表》按两套经济分类科目分别反映不同资金来源</w:t>
      </w:r>
      <w:r>
        <w:rPr>
          <w:rFonts w:hint="eastAsia"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全部预算支出。</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八、“三公”经费支出预算情况说明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三门峡经济开发区财政审计部</w:t>
      </w:r>
      <w:r>
        <w:rPr>
          <w:rFonts w:hint="eastAsia"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年“三公”经费预算为</w:t>
      </w:r>
      <w:r>
        <w:rPr>
          <w:rFonts w:hint="eastAsia" w:ascii="Times New Roman" w:hAnsi="Times New Roman" w:eastAsia="仿宋_GB2312" w:cs="Times New Roman"/>
          <w:sz w:val="32"/>
          <w:szCs w:val="32"/>
          <w:lang w:val="en-US" w:eastAsia="zh-CN"/>
        </w:rPr>
        <w:t>0.22</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年“三公”经费</w:t>
      </w:r>
      <w:r>
        <w:rPr>
          <w:rFonts w:hint="eastAsia" w:ascii="Times New Roman" w:hAnsi="Times New Roman" w:eastAsia="仿宋_GB2312" w:cs="Times New Roman"/>
          <w:sz w:val="32"/>
          <w:szCs w:val="32"/>
          <w:lang w:eastAsia="zh-CN"/>
        </w:rPr>
        <w:t>支出</w:t>
      </w:r>
      <w:r>
        <w:rPr>
          <w:rFonts w:hint="default" w:ascii="Times New Roman" w:hAnsi="Times New Roman" w:eastAsia="仿宋_GB2312" w:cs="Times New Roman"/>
          <w:sz w:val="32"/>
          <w:szCs w:val="32"/>
        </w:rPr>
        <w:t>预算</w:t>
      </w:r>
      <w:r>
        <w:rPr>
          <w:rFonts w:hint="eastAsia" w:ascii="Times New Roman" w:hAnsi="Times New Roman" w:eastAsia="仿宋_GB2312" w:cs="Times New Roman"/>
          <w:sz w:val="32"/>
          <w:szCs w:val="32"/>
          <w:lang w:eastAsia="zh-CN"/>
        </w:rPr>
        <w:t>数</w:t>
      </w:r>
      <w:r>
        <w:rPr>
          <w:rFonts w:hint="default" w:ascii="Times New Roman" w:hAnsi="Times New Roman" w:eastAsia="仿宋_GB2312" w:cs="Times New Roman"/>
          <w:sz w:val="32"/>
          <w:szCs w:val="32"/>
          <w:lang w:eastAsia="zh-CN"/>
        </w:rPr>
        <w:t>比</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减少0.78</w:t>
      </w:r>
      <w:r>
        <w:rPr>
          <w:rFonts w:hint="default" w:ascii="Times New Roman" w:hAnsi="Times New Roman" w:eastAsia="仿宋_GB2312" w:cs="Times New Roman"/>
          <w:sz w:val="32"/>
          <w:szCs w:val="32"/>
          <w:lang w:val="en-US" w:eastAsia="zh-CN"/>
        </w:rPr>
        <w:t>万元</w:t>
      </w:r>
      <w:r>
        <w:rPr>
          <w:rFonts w:hint="eastAsia" w:ascii="Times New Roman" w:hAnsi="Times New Roman" w:eastAsia="仿宋_GB2312" w:cs="Times New Roman"/>
          <w:sz w:val="32"/>
          <w:szCs w:val="32"/>
          <w:lang w:eastAsia="zh-CN"/>
        </w:rPr>
        <w:t>，下降</w:t>
      </w:r>
      <w:r>
        <w:rPr>
          <w:rFonts w:hint="eastAsia" w:ascii="Times New Roman" w:hAnsi="Times New Roman" w:eastAsia="仿宋_GB2312" w:cs="Times New Roman"/>
          <w:sz w:val="32"/>
          <w:szCs w:val="32"/>
          <w:lang w:val="en-US" w:eastAsia="zh-CN"/>
        </w:rPr>
        <w:t>78%</w:t>
      </w:r>
      <w:r>
        <w:rPr>
          <w:rFonts w:hint="default" w:ascii="Times New Roman" w:hAnsi="Times New Roman" w:eastAsia="仿宋_GB2312" w:cs="Times New Roman"/>
          <w:sz w:val="32"/>
          <w:szCs w:val="32"/>
          <w:lang w:eastAsia="zh-CN"/>
        </w:rPr>
        <w:t>。</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具体支出情况如下：</w:t>
      </w:r>
    </w:p>
    <w:p>
      <w:pPr>
        <w:keepNext w:val="0"/>
        <w:keepLines w:val="0"/>
        <w:pageBreakBefore w:val="0"/>
        <w:widowControl w:val="0"/>
        <w:numPr>
          <w:ilvl w:val="0"/>
          <w:numId w:val="2"/>
        </w:numPr>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因公出国（境）费</w:t>
      </w:r>
      <w:r>
        <w:rPr>
          <w:rFonts w:hint="eastAsia" w:ascii="Times New Roman" w:hAnsi="Times New Roman" w:eastAsia="仿宋_GB2312" w:cs="Times New Roman"/>
          <w:b w:val="0"/>
          <w:bCs w:val="0"/>
          <w:sz w:val="32"/>
          <w:szCs w:val="32"/>
          <w:lang w:val="en-US" w:eastAsia="zh-CN"/>
        </w:rPr>
        <w:t>0</w:t>
      </w:r>
      <w:r>
        <w:rPr>
          <w:rFonts w:hint="default" w:ascii="Times New Roman" w:hAnsi="Times New Roman" w:eastAsia="仿宋_GB2312" w:cs="Times New Roman"/>
          <w:b w:val="0"/>
          <w:bCs w:val="0"/>
          <w:sz w:val="32"/>
          <w:szCs w:val="32"/>
        </w:rPr>
        <w:t>元</w:t>
      </w:r>
      <w:r>
        <w:rPr>
          <w:rFonts w:hint="eastAsia" w:ascii="Times New Roman" w:hAnsi="Times New Roman" w:eastAsia="仿宋_GB2312" w:cs="Times New Roman"/>
          <w:b w:val="0"/>
          <w:bCs w:val="0"/>
          <w:sz w:val="32"/>
          <w:szCs w:val="32"/>
          <w:lang w:eastAsia="zh-CN"/>
        </w:rPr>
        <w:t>，预算数比</w:t>
      </w:r>
      <w:r>
        <w:rPr>
          <w:rFonts w:hint="eastAsia" w:ascii="Times New Roman" w:hAnsi="Times New Roman" w:eastAsia="仿宋_GB2312" w:cs="Times New Roman"/>
          <w:b w:val="0"/>
          <w:bCs w:val="0"/>
          <w:sz w:val="32"/>
          <w:szCs w:val="32"/>
          <w:lang w:val="en-US" w:eastAsia="zh-CN"/>
        </w:rPr>
        <w:t>2023年增加0万元，增长0%</w:t>
      </w:r>
      <w:r>
        <w:rPr>
          <w:rFonts w:hint="default" w:ascii="Times New Roman" w:hAnsi="Times New Roman" w:eastAsia="仿宋_GB2312" w:cs="Times New Roman"/>
          <w:b w:val="0"/>
          <w:bCs w:val="0"/>
          <w:sz w:val="32"/>
          <w:szCs w:val="32"/>
        </w:rPr>
        <w:t>。</w:t>
      </w:r>
    </w:p>
    <w:p>
      <w:pPr>
        <w:keepNext w:val="0"/>
        <w:keepLines w:val="0"/>
        <w:pageBreakBefore w:val="0"/>
        <w:widowControl w:val="0"/>
        <w:numPr>
          <w:ilvl w:val="0"/>
          <w:numId w:val="2"/>
        </w:numPr>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公务接待费</w:t>
      </w:r>
      <w:r>
        <w:rPr>
          <w:rFonts w:hint="eastAsia" w:ascii="Times New Roman" w:hAnsi="Times New Roman" w:eastAsia="仿宋_GB2312" w:cs="Times New Roman"/>
          <w:b w:val="0"/>
          <w:bCs w:val="0"/>
          <w:sz w:val="32"/>
          <w:szCs w:val="32"/>
          <w:lang w:val="en-US" w:eastAsia="zh-CN"/>
        </w:rPr>
        <w:t>0.22</w:t>
      </w:r>
      <w:r>
        <w:rPr>
          <w:rFonts w:hint="default" w:ascii="Times New Roman" w:hAnsi="Times New Roman" w:eastAsia="仿宋_GB2312" w:cs="Times New Roman"/>
          <w:b w:val="0"/>
          <w:bCs w:val="0"/>
          <w:sz w:val="32"/>
          <w:szCs w:val="32"/>
        </w:rPr>
        <w:t>万元，</w:t>
      </w:r>
      <w:r>
        <w:rPr>
          <w:rFonts w:hint="default" w:ascii="Times New Roman" w:hAnsi="Times New Roman" w:eastAsia="仿宋_GB2312" w:cs="Times New Roman"/>
          <w:sz w:val="32"/>
          <w:szCs w:val="32"/>
        </w:rPr>
        <w:t>主要用于按规定开支的各类公务接待（含外宾接待）支出。预算数</w:t>
      </w:r>
      <w:r>
        <w:rPr>
          <w:rFonts w:hint="default" w:ascii="Times New Roman" w:hAnsi="Times New Roman" w:eastAsia="仿宋_GB2312" w:cs="Times New Roman"/>
          <w:sz w:val="32"/>
          <w:szCs w:val="32"/>
          <w:lang w:eastAsia="zh-CN"/>
        </w:rPr>
        <w:t>比</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减少0.78</w:t>
      </w:r>
      <w:r>
        <w:rPr>
          <w:rFonts w:hint="default" w:ascii="Times New Roman" w:hAnsi="Times New Roman" w:eastAsia="仿宋_GB2312" w:cs="Times New Roman"/>
          <w:sz w:val="32"/>
          <w:szCs w:val="32"/>
          <w:lang w:val="en-US" w:eastAsia="zh-CN"/>
        </w:rPr>
        <w:t>万元</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eastAsia="zh-CN"/>
        </w:rPr>
        <w:t>下降</w:t>
      </w:r>
      <w:r>
        <w:rPr>
          <w:rFonts w:hint="eastAsia" w:ascii="Times New Roman" w:hAnsi="Times New Roman" w:eastAsia="仿宋_GB2312" w:cs="Times New Roman"/>
          <w:sz w:val="32"/>
          <w:szCs w:val="32"/>
          <w:lang w:val="en-US" w:eastAsia="zh-CN"/>
        </w:rPr>
        <w:t>78%</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主要原因是：厉行节约，减少公务接待。</w:t>
      </w:r>
    </w:p>
    <w:p>
      <w:pPr>
        <w:keepNext w:val="0"/>
        <w:keepLines w:val="0"/>
        <w:pageBreakBefore w:val="0"/>
        <w:widowControl w:val="0"/>
        <w:numPr>
          <w:ilvl w:val="0"/>
          <w:numId w:val="2"/>
        </w:numPr>
        <w:wordWrap/>
        <w:topLinePunct w:val="0"/>
        <w:bidi w:val="0"/>
        <w:adjustRightInd/>
        <w:snapToGrid/>
        <w:spacing w:line="620" w:lineRule="exact"/>
        <w:ind w:left="0" w:leftChars="0"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val="0"/>
          <w:bCs w:val="0"/>
          <w:sz w:val="32"/>
          <w:szCs w:val="32"/>
        </w:rPr>
        <w:t>公务用车购置及运行费</w:t>
      </w:r>
      <w:r>
        <w:rPr>
          <w:rFonts w:hint="eastAsia" w:ascii="Times New Roman" w:hAnsi="Times New Roman" w:eastAsia="仿宋_GB2312" w:cs="Times New Roman"/>
          <w:b w:val="0"/>
          <w:bCs w:val="0"/>
          <w:sz w:val="32"/>
          <w:szCs w:val="32"/>
          <w:lang w:val="en-US" w:eastAsia="zh-CN"/>
        </w:rPr>
        <w:t>0</w:t>
      </w:r>
      <w:r>
        <w:rPr>
          <w:rFonts w:hint="default" w:ascii="Times New Roman" w:hAnsi="Times New Roman" w:eastAsia="仿宋_GB2312" w:cs="Times New Roman"/>
          <w:b w:val="0"/>
          <w:bCs w:val="0"/>
          <w:sz w:val="32"/>
          <w:szCs w:val="32"/>
        </w:rPr>
        <w:t>万元。其</w:t>
      </w:r>
      <w:r>
        <w:rPr>
          <w:rFonts w:hint="default" w:ascii="Times New Roman" w:hAnsi="Times New Roman" w:eastAsia="仿宋_GB2312" w:cs="Times New Roman"/>
          <w:sz w:val="32"/>
          <w:szCs w:val="32"/>
        </w:rPr>
        <w:t>中，公务用车购置费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主要用于开展工作</w:t>
      </w:r>
      <w:r>
        <w:rPr>
          <w:rFonts w:hint="eastAsia" w:ascii="Times New Roman" w:hAnsi="Times New Roman" w:eastAsia="仿宋_GB2312" w:cs="Times New Roman"/>
          <w:sz w:val="32"/>
          <w:szCs w:val="32"/>
          <w:lang w:eastAsia="zh-CN"/>
        </w:rPr>
        <w:t>购买所需车辆，比</w:t>
      </w:r>
      <w:r>
        <w:rPr>
          <w:rFonts w:hint="eastAsia" w:ascii="Times New Roman" w:hAnsi="Times New Roman" w:eastAsia="仿宋_GB2312" w:cs="Times New Roman"/>
          <w:sz w:val="32"/>
          <w:szCs w:val="32"/>
          <w:lang w:val="en-US" w:eastAsia="zh-CN"/>
        </w:rPr>
        <w:t>2023年增长0万元，增长0%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公务用车运行维护费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万元，主要用于开展工作所需公务用车的燃料费、维修费、过路过桥费、保险费等支出。</w:t>
      </w:r>
      <w:r>
        <w:rPr>
          <w:rFonts w:hint="eastAsia" w:ascii="Times New Roman" w:hAnsi="Times New Roman" w:eastAsia="仿宋_GB2312" w:cs="Times New Roman"/>
          <w:sz w:val="32"/>
          <w:szCs w:val="32"/>
          <w:lang w:eastAsia="zh-CN"/>
        </w:rPr>
        <w:t>比</w:t>
      </w:r>
      <w:r>
        <w:rPr>
          <w:rFonts w:hint="eastAsia" w:ascii="Times New Roman" w:hAnsi="Times New Roman" w:eastAsia="仿宋_GB2312" w:cs="Times New Roman"/>
          <w:sz w:val="32"/>
          <w:szCs w:val="32"/>
          <w:lang w:val="en-US" w:eastAsia="zh-CN"/>
        </w:rPr>
        <w:t>2023年增加0万元，增长0%</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其他重要事项的情况说明</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 w:hAnsi="仿宋" w:eastAsia="仿宋" w:cs="仿宋"/>
          <w:b w:val="0"/>
          <w:bCs w:val="0"/>
          <w:snapToGrid w:val="0"/>
          <w:color w:val="000000"/>
          <w:kern w:val="0"/>
          <w:sz w:val="32"/>
          <w:szCs w:val="32"/>
          <w:lang w:val="en-US" w:eastAsia="zh-CN" w:bidi="ar-SA"/>
        </w:rPr>
      </w:pPr>
      <w:r>
        <w:rPr>
          <w:rFonts w:hint="default" w:ascii="Times New Roman" w:hAnsi="Times New Roman" w:eastAsia="仿宋_GB2312" w:cs="Times New Roman"/>
          <w:sz w:val="32"/>
          <w:szCs w:val="32"/>
          <w:lang w:val="en-US" w:eastAsia="zh-CN"/>
        </w:rPr>
        <w:t>三门峡经济开发区财政审计部</w:t>
      </w:r>
      <w:r>
        <w:rPr>
          <w:rFonts w:hint="eastAsia"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eastAsia="zh-CN"/>
        </w:rPr>
        <w:t>政府性基金预算支出</w:t>
      </w:r>
      <w:r>
        <w:rPr>
          <w:rFonts w:hint="eastAsia" w:ascii="Times New Roman" w:hAnsi="Times New Roman" w:eastAsia="仿宋_GB2312" w:cs="Times New Roman"/>
          <w:sz w:val="32"/>
          <w:szCs w:val="32"/>
          <w:lang w:val="en-US" w:eastAsia="zh-CN"/>
        </w:rPr>
        <w:t>0万元</w:t>
      </w:r>
      <w:r>
        <w:rPr>
          <w:rFonts w:hint="eastAsia" w:ascii="仿宋" w:hAnsi="仿宋" w:eastAsia="仿宋" w:cs="仿宋"/>
          <w:b w:val="0"/>
          <w:bCs w:val="0"/>
          <w:snapToGrid w:val="0"/>
          <w:color w:val="000000"/>
          <w:kern w:val="0"/>
          <w:sz w:val="32"/>
          <w:szCs w:val="32"/>
          <w:lang w:val="en-US" w:eastAsia="zh-CN" w:bidi="ar-SA"/>
        </w:rPr>
        <w:t>，我部门本年无使用政府性基金预算拨款安排的支出。</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eastAsia" w:ascii="黑体" w:hAnsi="黑体" w:eastAsia="黑体" w:cs="黑体"/>
          <w:b w:val="0"/>
          <w:bCs w:val="0"/>
          <w:sz w:val="32"/>
          <w:szCs w:val="32"/>
        </w:rPr>
      </w:pPr>
      <w:bookmarkStart w:id="0" w:name="_GoBack"/>
      <w:bookmarkEnd w:id="0"/>
      <w:r>
        <w:rPr>
          <w:rFonts w:hint="eastAsia" w:ascii="黑体" w:hAnsi="黑体" w:eastAsia="黑体" w:cs="黑体"/>
          <w:b w:val="0"/>
          <w:bCs w:val="0"/>
          <w:sz w:val="32"/>
          <w:szCs w:val="32"/>
          <w:lang w:eastAsia="zh-CN"/>
        </w:rPr>
        <w:t>十</w:t>
      </w:r>
      <w:r>
        <w:rPr>
          <w:rFonts w:hint="eastAsia" w:ascii="黑体" w:hAnsi="黑体" w:eastAsia="黑体" w:cs="黑体"/>
          <w:b w:val="0"/>
          <w:bCs w:val="0"/>
          <w:sz w:val="32"/>
          <w:szCs w:val="32"/>
        </w:rPr>
        <w:t>、其他重要事项的情况说明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（一）机关运行经费支出情况</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color w:val="444444"/>
          <w:sz w:val="32"/>
          <w:szCs w:val="32"/>
          <w:shd w:val="clear" w:color="auto" w:fill="FFFFFF"/>
        </w:rPr>
      </w:pPr>
      <w:r>
        <w:rPr>
          <w:rFonts w:hint="default" w:ascii="Times New Roman" w:hAnsi="Times New Roman" w:eastAsia="仿宋_GB2312" w:cs="Times New Roman"/>
          <w:sz w:val="32"/>
          <w:szCs w:val="32"/>
        </w:rPr>
        <w:t>三门峡经济开发区财政审计部</w:t>
      </w:r>
      <w:r>
        <w:rPr>
          <w:rFonts w:hint="eastAsia"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年机关运行经费支出预算</w:t>
      </w:r>
      <w:r>
        <w:rPr>
          <w:rFonts w:hint="eastAsia" w:ascii="Times New Roman" w:hAnsi="Times New Roman" w:eastAsia="仿宋_GB2312" w:cs="Times New Roman"/>
          <w:sz w:val="32"/>
          <w:szCs w:val="32"/>
          <w:lang w:val="en-US" w:eastAsia="zh-CN"/>
        </w:rPr>
        <w:t>8.1</w:t>
      </w:r>
      <w:r>
        <w:rPr>
          <w:rFonts w:hint="default" w:ascii="Times New Roman" w:hAnsi="Times New Roman" w:eastAsia="仿宋_GB2312" w:cs="Times New Roman"/>
          <w:sz w:val="32"/>
          <w:szCs w:val="32"/>
        </w:rPr>
        <w:t>万元，主要保障机构正常运转及正常履职需要</w:t>
      </w:r>
      <w:r>
        <w:rPr>
          <w:rFonts w:hint="eastAsia" w:ascii="Times New Roman" w:hAnsi="Times New Roman" w:eastAsia="仿宋_GB2312" w:cs="Times New Roman"/>
          <w:sz w:val="32"/>
          <w:szCs w:val="32"/>
          <w:lang w:eastAsia="zh-CN"/>
        </w:rPr>
        <w:t>，比</w:t>
      </w:r>
      <w:r>
        <w:rPr>
          <w:rFonts w:hint="eastAsia" w:ascii="Times New Roman" w:hAnsi="Times New Roman" w:eastAsia="仿宋_GB2312" w:cs="Times New Roman"/>
          <w:sz w:val="32"/>
          <w:szCs w:val="32"/>
          <w:lang w:val="en-US" w:eastAsia="zh-CN"/>
        </w:rPr>
        <w:t>2023年减少1.2万元，下降12.9%，主要原因是：</w:t>
      </w:r>
      <w:r>
        <w:rPr>
          <w:rFonts w:hint="eastAsia" w:ascii="Times New Roman" w:hAnsi="Times New Roman" w:eastAsia="仿宋_GB2312" w:cs="Times New Roman"/>
          <w:b w:val="0"/>
          <w:bCs w:val="0"/>
          <w:sz w:val="32"/>
          <w:szCs w:val="32"/>
          <w:lang w:val="en-US" w:eastAsia="zh-CN"/>
        </w:rPr>
        <w:t>财政收支压力较大，故压减部门支出。</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（二）政府采购支出情况</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2024</w:t>
      </w:r>
      <w:r>
        <w:rPr>
          <w:rFonts w:hint="default" w:ascii="Times New Roman" w:hAnsi="Times New Roman" w:eastAsia="仿宋_GB2312" w:cs="Times New Roman"/>
          <w:sz w:val="32"/>
          <w:szCs w:val="32"/>
        </w:rPr>
        <w:t>年政府采购预算安排</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万元，其中：政府采购货物预算</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政府采购工程预算</w:t>
      </w:r>
      <w:r>
        <w:rPr>
          <w:rFonts w:hint="eastAsia" w:ascii="Times New Roman" w:hAnsi="Times New Roman" w:eastAsia="仿宋_GB2312" w:cs="Times New Roman"/>
          <w:sz w:val="32"/>
          <w:szCs w:val="32"/>
          <w:lang w:val="en-US" w:eastAsia="zh-CN"/>
        </w:rPr>
        <w:t>0万元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政府采购服务预算</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万元等。</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val="en-US" w:eastAsia="zh-CN"/>
        </w:rPr>
        <w:t>（三）</w:t>
      </w:r>
      <w:r>
        <w:rPr>
          <w:rFonts w:hint="default" w:ascii="Times New Roman" w:hAnsi="Times New Roman" w:eastAsia="仿宋_GB2312" w:cs="Times New Roman"/>
          <w:b w:val="0"/>
          <w:bCs w:val="0"/>
          <w:sz w:val="32"/>
          <w:szCs w:val="32"/>
        </w:rPr>
        <w:t>关于预算绩效管理工作开展情况说明</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我部门</w:t>
      </w:r>
      <w:r>
        <w:rPr>
          <w:rFonts w:hint="eastAsia" w:ascii="Times New Roman" w:hAnsi="Times New Roman" w:eastAsia="仿宋_GB2312" w:cs="Times New Roman"/>
          <w:sz w:val="32"/>
          <w:szCs w:val="32"/>
          <w:lang w:val="en-US" w:eastAsia="zh-CN"/>
        </w:rPr>
        <w:t>2024</w:t>
      </w:r>
      <w:r>
        <w:rPr>
          <w:rFonts w:hint="default" w:ascii="Times New Roman" w:hAnsi="Times New Roman" w:eastAsia="仿宋_GB2312" w:cs="Times New Roman"/>
          <w:sz w:val="32"/>
          <w:szCs w:val="32"/>
          <w:lang w:val="en-US" w:eastAsia="zh-CN"/>
        </w:rPr>
        <w:t>年预算项目均按要求编制了绩效目标，从项目产出、项目效益、满意度等方面设置了绩效</w:t>
      </w:r>
      <w:r>
        <w:rPr>
          <w:rFonts w:hint="eastAsia" w:ascii="Times New Roman" w:hAnsi="Times New Roman" w:eastAsia="仿宋_GB2312" w:cs="Times New Roman"/>
          <w:sz w:val="32"/>
          <w:szCs w:val="32"/>
          <w:lang w:val="en-US" w:eastAsia="zh-CN"/>
        </w:rPr>
        <w:t>目标</w:t>
      </w:r>
      <w:r>
        <w:rPr>
          <w:rFonts w:hint="default" w:ascii="Times New Roman" w:hAnsi="Times New Roman" w:eastAsia="仿宋_GB2312" w:cs="Times New Roman"/>
          <w:sz w:val="32"/>
          <w:szCs w:val="32"/>
          <w:lang w:val="en-US" w:eastAsia="zh-CN"/>
        </w:rPr>
        <w:t>，综合反映项目预期完成的数量、实效、质量，预期达到的社会经济效益、可持续影响以及服务对象满意度等情况。</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（四）</w:t>
      </w:r>
      <w:r>
        <w:rPr>
          <w:rFonts w:hint="default" w:ascii="Times New Roman" w:hAnsi="Times New Roman" w:eastAsia="仿宋_GB2312" w:cs="Times New Roman"/>
          <w:b w:val="0"/>
          <w:bCs w:val="0"/>
          <w:sz w:val="32"/>
          <w:szCs w:val="32"/>
        </w:rPr>
        <w:t>国有资产占有情况</w:t>
      </w:r>
    </w:p>
    <w:p>
      <w:pPr>
        <w:keepNext w:val="0"/>
        <w:keepLines w:val="0"/>
        <w:pageBreakBefore w:val="0"/>
        <w:widowControl w:val="0"/>
        <w:wordWrap/>
        <w:topLinePunct w:val="0"/>
        <w:bidi w:val="0"/>
        <w:adjustRightInd/>
        <w:snapToGrid/>
        <w:spacing w:line="620" w:lineRule="exact"/>
        <w:ind w:firstLine="620" w:firstLineChars="200"/>
        <w:jc w:val="both"/>
        <w:textAlignment w:val="auto"/>
        <w:rPr>
          <w:rFonts w:hint="default" w:ascii="Times New Roman" w:hAnsi="Times New Roman" w:eastAsia="仿宋_GB2312" w:cs="Times New Roman"/>
          <w:color w:val="444444"/>
          <w:sz w:val="32"/>
          <w:szCs w:val="32"/>
        </w:rPr>
      </w:pPr>
      <w:r>
        <w:rPr>
          <w:rFonts w:hint="default" w:ascii="Times New Roman" w:hAnsi="Times New Roman" w:eastAsia="仿宋_GB2312" w:cs="Times New Roman"/>
          <w:color w:val="000000"/>
          <w:kern w:val="0"/>
          <w:sz w:val="31"/>
          <w:szCs w:val="31"/>
          <w:lang w:val="en-US" w:eastAsia="zh-CN" w:bidi="ar"/>
        </w:rPr>
        <w:t>202</w:t>
      </w:r>
      <w:r>
        <w:rPr>
          <w:rFonts w:hint="eastAsia" w:ascii="Times New Roman" w:hAnsi="Times New Roman" w:eastAsia="仿宋_GB2312" w:cs="Times New Roman"/>
          <w:color w:val="000000"/>
          <w:kern w:val="0"/>
          <w:sz w:val="31"/>
          <w:szCs w:val="31"/>
          <w:lang w:val="en-US" w:eastAsia="zh-CN" w:bidi="ar"/>
        </w:rPr>
        <w:t>3</w:t>
      </w:r>
      <w:r>
        <w:rPr>
          <w:rFonts w:hint="default" w:ascii="Times New Roman" w:hAnsi="Times New Roman" w:eastAsia="仿宋_GB2312" w:cs="Times New Roman"/>
          <w:color w:val="000000"/>
          <w:kern w:val="0"/>
          <w:sz w:val="31"/>
          <w:szCs w:val="31"/>
          <w:lang w:val="en-US" w:eastAsia="zh-CN" w:bidi="ar"/>
        </w:rPr>
        <w:t>年期末，我</w:t>
      </w:r>
      <w:r>
        <w:rPr>
          <w:rFonts w:hint="eastAsia" w:ascii="Times New Roman" w:hAnsi="Times New Roman" w:eastAsia="仿宋_GB2312" w:cs="Times New Roman"/>
          <w:color w:val="000000"/>
          <w:kern w:val="0"/>
          <w:sz w:val="31"/>
          <w:szCs w:val="31"/>
          <w:lang w:val="en-US" w:eastAsia="zh-CN" w:bidi="ar"/>
        </w:rPr>
        <w:t>部门</w:t>
      </w:r>
      <w:r>
        <w:rPr>
          <w:rFonts w:hint="default" w:ascii="Times New Roman" w:hAnsi="Times New Roman" w:eastAsia="仿宋_GB2312" w:cs="Times New Roman"/>
          <w:color w:val="000000"/>
          <w:kern w:val="0"/>
          <w:sz w:val="31"/>
          <w:szCs w:val="31"/>
          <w:lang w:val="en-US" w:eastAsia="zh-CN" w:bidi="ar"/>
        </w:rPr>
        <w:t>共有车辆</w:t>
      </w:r>
      <w:r>
        <w:rPr>
          <w:rFonts w:hint="eastAsia" w:ascii="Times New Roman" w:hAnsi="Times New Roman" w:eastAsia="仿宋_GB2312" w:cs="Times New Roman"/>
          <w:color w:val="000000"/>
          <w:kern w:val="0"/>
          <w:sz w:val="31"/>
          <w:szCs w:val="31"/>
          <w:lang w:val="en-US" w:eastAsia="zh-CN" w:bidi="ar"/>
        </w:rPr>
        <w:t>0</w:t>
      </w:r>
      <w:r>
        <w:rPr>
          <w:rFonts w:hint="default" w:ascii="Times New Roman" w:hAnsi="Times New Roman" w:eastAsia="仿宋_GB2312" w:cs="Times New Roman"/>
          <w:color w:val="000000"/>
          <w:kern w:val="0"/>
          <w:sz w:val="31"/>
          <w:szCs w:val="31"/>
          <w:lang w:val="en-US" w:eastAsia="zh-CN" w:bidi="ar"/>
        </w:rPr>
        <w:t>辆，其中：一般公务用车</w:t>
      </w:r>
      <w:r>
        <w:rPr>
          <w:rFonts w:hint="eastAsia" w:ascii="Times New Roman" w:hAnsi="Times New Roman" w:eastAsia="仿宋_GB2312" w:cs="Times New Roman"/>
          <w:color w:val="000000"/>
          <w:kern w:val="0"/>
          <w:sz w:val="31"/>
          <w:szCs w:val="31"/>
          <w:lang w:val="en-US" w:eastAsia="zh-CN" w:bidi="ar"/>
        </w:rPr>
        <w:t>0</w:t>
      </w:r>
      <w:r>
        <w:rPr>
          <w:rFonts w:hint="default" w:ascii="Times New Roman" w:hAnsi="Times New Roman" w:eastAsia="仿宋_GB2312" w:cs="Times New Roman"/>
          <w:color w:val="000000"/>
          <w:kern w:val="0"/>
          <w:sz w:val="31"/>
          <w:szCs w:val="31"/>
          <w:lang w:val="en-US" w:eastAsia="zh-CN" w:bidi="ar"/>
        </w:rPr>
        <w:t>辆</w:t>
      </w:r>
      <w:r>
        <w:rPr>
          <w:rFonts w:hint="eastAsia" w:ascii="Times New Roman" w:hAnsi="Times New Roman" w:eastAsia="仿宋_GB2312" w:cs="Times New Roman"/>
          <w:color w:val="000000"/>
          <w:kern w:val="0"/>
          <w:sz w:val="31"/>
          <w:szCs w:val="31"/>
          <w:lang w:val="en-US" w:eastAsia="zh-CN" w:bidi="ar"/>
        </w:rPr>
        <w:t>、一般执法执勤用车0辆、特种专业技术用车0辆、其他用车0辆</w:t>
      </w:r>
      <w:r>
        <w:rPr>
          <w:rFonts w:hint="default" w:ascii="Times New Roman" w:hAnsi="Times New Roman" w:eastAsia="仿宋_GB2312" w:cs="Times New Roman"/>
          <w:color w:val="000000"/>
          <w:kern w:val="0"/>
          <w:sz w:val="31"/>
          <w:szCs w:val="31"/>
          <w:lang w:val="en-US" w:eastAsia="zh-CN" w:bidi="ar"/>
        </w:rPr>
        <w:t>；单价50万元以上通用设备</w:t>
      </w:r>
      <w:r>
        <w:rPr>
          <w:rFonts w:hint="eastAsia" w:ascii="Times New Roman" w:hAnsi="Times New Roman" w:eastAsia="仿宋_GB2312" w:cs="Times New Roman"/>
          <w:color w:val="000000"/>
          <w:kern w:val="0"/>
          <w:sz w:val="31"/>
          <w:szCs w:val="31"/>
          <w:lang w:val="en-US" w:eastAsia="zh-CN" w:bidi="ar"/>
        </w:rPr>
        <w:t>0套</w:t>
      </w:r>
      <w:r>
        <w:rPr>
          <w:rFonts w:hint="default" w:ascii="Times New Roman" w:hAnsi="Times New Roman" w:eastAsia="仿宋_GB2312" w:cs="Times New Roman"/>
          <w:color w:val="000000"/>
          <w:kern w:val="0"/>
          <w:sz w:val="31"/>
          <w:szCs w:val="31"/>
          <w:lang w:val="en-US" w:eastAsia="zh-CN" w:bidi="ar"/>
        </w:rPr>
        <w:t>，单位价值100万元以上专用设备</w:t>
      </w:r>
      <w:r>
        <w:rPr>
          <w:rFonts w:hint="eastAsia" w:ascii="Times New Roman" w:hAnsi="Times New Roman" w:eastAsia="仿宋_GB2312" w:cs="Times New Roman"/>
          <w:color w:val="000000"/>
          <w:kern w:val="0"/>
          <w:sz w:val="31"/>
          <w:szCs w:val="31"/>
          <w:lang w:val="en-US" w:eastAsia="zh-CN" w:bidi="ar"/>
        </w:rPr>
        <w:t>0套</w:t>
      </w:r>
      <w:r>
        <w:rPr>
          <w:rFonts w:hint="default" w:ascii="Times New Roman" w:hAnsi="Times New Roman" w:eastAsia="仿宋_GB2312" w:cs="Times New Roman"/>
          <w:color w:val="444444"/>
          <w:sz w:val="32"/>
          <w:szCs w:val="32"/>
        </w:rPr>
        <w:t>。</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lang w:eastAsia="zh-CN"/>
        </w:rPr>
        <w:t>（五）</w:t>
      </w:r>
      <w:r>
        <w:rPr>
          <w:rFonts w:hint="default" w:ascii="Times New Roman" w:hAnsi="Times New Roman" w:eastAsia="仿宋_GB2312" w:cs="Times New Roman"/>
          <w:b w:val="0"/>
          <w:bCs w:val="0"/>
          <w:sz w:val="32"/>
          <w:szCs w:val="32"/>
        </w:rPr>
        <w:t>专项转移支付项目情况</w:t>
      </w:r>
    </w:p>
    <w:p>
      <w:pPr>
        <w:keepNext w:val="0"/>
        <w:keepLines w:val="0"/>
        <w:pageBreakBefore w:val="0"/>
        <w:widowControl w:val="0"/>
        <w:wordWrap/>
        <w:topLinePunct w:val="0"/>
        <w:bidi w:val="0"/>
        <w:adjustRightInd/>
        <w:snapToGrid/>
        <w:spacing w:line="620" w:lineRule="exact"/>
        <w:ind w:firstLine="640" w:firstLineChars="200"/>
        <w:jc w:val="both"/>
        <w:textAlignment w:val="auto"/>
        <w:rPr>
          <w:rFonts w:hint="default" w:ascii="Times New Roman" w:hAnsi="Times New Roman" w:eastAsia="仿宋_GB2312" w:cs="Times New Roman"/>
          <w:color w:val="000000"/>
          <w:kern w:val="0"/>
          <w:sz w:val="31"/>
          <w:szCs w:val="31"/>
          <w:lang w:val="en-US" w:eastAsia="zh-CN" w:bidi="ar"/>
        </w:rPr>
      </w:pPr>
      <w:r>
        <w:rPr>
          <w:rFonts w:hint="default" w:ascii="Times New Roman" w:hAnsi="Times New Roman" w:eastAsia="仿宋_GB2312" w:cs="Times New Roman"/>
          <w:sz w:val="32"/>
          <w:szCs w:val="32"/>
        </w:rPr>
        <w:t>三门峡经济开发区财政审计部</w:t>
      </w:r>
      <w:r>
        <w:rPr>
          <w:rFonts w:hint="eastAsia" w:ascii="Times New Roman" w:hAnsi="Times New Roman" w:eastAsia="仿宋_GB2312" w:cs="Times New Roman"/>
          <w:color w:val="000000"/>
          <w:kern w:val="0"/>
          <w:sz w:val="31"/>
          <w:szCs w:val="31"/>
          <w:lang w:val="en-US" w:eastAsia="zh-CN" w:bidi="ar"/>
        </w:rPr>
        <w:t>部门</w:t>
      </w:r>
      <w:r>
        <w:rPr>
          <w:rFonts w:hint="default" w:ascii="Times New Roman" w:hAnsi="Times New Roman" w:eastAsia="仿宋_GB2312" w:cs="Times New Roman"/>
          <w:color w:val="000000"/>
          <w:kern w:val="0"/>
          <w:sz w:val="31"/>
          <w:szCs w:val="31"/>
          <w:lang w:val="en-US" w:eastAsia="zh-CN" w:bidi="ar"/>
        </w:rPr>
        <w:t>负责管理的专项转移支付项目共有</w:t>
      </w:r>
      <w:r>
        <w:rPr>
          <w:rFonts w:hint="eastAsia" w:ascii="Times New Roman" w:hAnsi="Times New Roman" w:eastAsia="仿宋_GB2312" w:cs="Times New Roman"/>
          <w:color w:val="000000"/>
          <w:kern w:val="0"/>
          <w:sz w:val="31"/>
          <w:szCs w:val="31"/>
          <w:lang w:val="en-US" w:eastAsia="zh-CN" w:bidi="ar"/>
        </w:rPr>
        <w:t>0</w:t>
      </w:r>
      <w:r>
        <w:rPr>
          <w:rFonts w:hint="default" w:ascii="Times New Roman" w:hAnsi="Times New Roman" w:eastAsia="仿宋_GB2312" w:cs="Times New Roman"/>
          <w:color w:val="000000"/>
          <w:kern w:val="0"/>
          <w:sz w:val="31"/>
          <w:szCs w:val="31"/>
          <w:lang w:val="en-US" w:eastAsia="zh-CN" w:bidi="ar"/>
        </w:rPr>
        <w:t>项。</w:t>
      </w:r>
      <w:r>
        <w:rPr>
          <w:rFonts w:hint="eastAsia" w:ascii="Times New Roman" w:hAnsi="Times New Roman" w:eastAsia="仿宋_GB2312" w:cs="Times New Roman"/>
          <w:color w:val="000000"/>
          <w:kern w:val="0"/>
          <w:sz w:val="31"/>
          <w:szCs w:val="31"/>
          <w:lang w:val="en-US" w:eastAsia="zh-CN" w:bidi="ar"/>
        </w:rPr>
        <w:t>我单位将按照《预算法》等有关规定，积极做好项目分配前期准备工作，在规定的时间内向财政部门提出资金分配意见，根据有关要求做好项目申报公开等相关工作。</w:t>
      </w:r>
    </w:p>
    <w:p>
      <w:pPr>
        <w:pStyle w:val="8"/>
        <w:keepNext w:val="0"/>
        <w:keepLines w:val="0"/>
        <w:pageBreakBefore w:val="0"/>
        <w:widowControl w:val="0"/>
        <w:numPr>
          <w:ilvl w:val="0"/>
          <w:numId w:val="0"/>
        </w:numPr>
        <w:wordWrap/>
        <w:topLinePunct w:val="0"/>
        <w:bidi w:val="0"/>
        <w:adjustRightInd/>
        <w:snapToGrid/>
        <w:spacing w:line="620" w:lineRule="exact"/>
        <w:ind w:leftChars="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第三部分</w:t>
      </w:r>
    </w:p>
    <w:p>
      <w:pPr>
        <w:keepNext w:val="0"/>
        <w:keepLines w:val="0"/>
        <w:pageBreakBefore w:val="0"/>
        <w:widowControl w:val="0"/>
        <w:wordWrap/>
        <w:topLinePunct w:val="0"/>
        <w:bidi w:val="0"/>
        <w:adjustRightInd/>
        <w:snapToGrid/>
        <w:spacing w:line="620" w:lineRule="exact"/>
        <w:ind w:firstLine="3855" w:firstLineChars="1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名词解释</w:t>
      </w:r>
    </w:p>
    <w:p>
      <w:pPr>
        <w:keepNext w:val="0"/>
        <w:keepLines w:val="0"/>
        <w:pageBreakBefore w:val="0"/>
        <w:widowControl w:val="0"/>
        <w:numPr>
          <w:ilvl w:val="0"/>
          <w:numId w:val="4"/>
        </w:numPr>
        <w:kinsoku/>
        <w:wordWrap/>
        <w:overflowPunct w:val="0"/>
        <w:topLinePunct w:val="0"/>
        <w:autoSpaceDE w:val="0"/>
        <w:autoSpaceDN w:val="0"/>
        <w:bidi w:val="0"/>
        <w:adjustRightInd/>
        <w:snapToGrid/>
        <w:spacing w:line="620" w:lineRule="exact"/>
        <w:ind w:firstLine="640" w:firstLineChars="200"/>
        <w:jc w:val="both"/>
        <w:textAlignment w:val="auto"/>
        <w:rPr>
          <w:rFonts w:hint="eastAsia"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财政拨款收入：是指市级财政当年拨付的资金</w:t>
      </w:r>
      <w:r>
        <w:rPr>
          <w:rFonts w:hint="eastAsia" w:ascii="Times New Roman" w:hAnsi="Times New Roman" w:eastAsia="仿宋_GB2312" w:cs="Times New Roman"/>
          <w:b w:val="0"/>
          <w:bCs w:val="0"/>
          <w:sz w:val="32"/>
          <w:szCs w:val="32"/>
          <w:lang w:eastAsia="zh-CN"/>
        </w:rPr>
        <w:t>；包括一般公共预算拨款、政府性基金预算拨款、国有资本经营预算拨款。</w:t>
      </w:r>
    </w:p>
    <w:p>
      <w:pPr>
        <w:keepNext w:val="0"/>
        <w:keepLines w:val="0"/>
        <w:pageBreakBefore w:val="0"/>
        <w:widowControl w:val="0"/>
        <w:numPr>
          <w:ilvl w:val="0"/>
          <w:numId w:val="4"/>
        </w:numPr>
        <w:kinsoku/>
        <w:wordWrap/>
        <w:overflowPunct w:val="0"/>
        <w:topLinePunct w:val="0"/>
        <w:autoSpaceDE w:val="0"/>
        <w:autoSpaceDN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lang w:eastAsia="zh-CN"/>
        </w:rPr>
      </w:pPr>
      <w:r>
        <w:rPr>
          <w:rFonts w:hint="eastAsia" w:ascii="Times New Roman" w:hAnsi="Times New Roman" w:eastAsia="仿宋_GB2312" w:cs="Times New Roman"/>
          <w:b w:val="0"/>
          <w:bCs w:val="0"/>
          <w:sz w:val="32"/>
          <w:szCs w:val="32"/>
          <w:lang w:eastAsia="zh-CN"/>
        </w:rPr>
        <w:t>财政专户管理资金：是指缴入财政专户、实行专项管理的高中以上学费、住宿费、高校委托培养费、函大、电大、夜大及短训班培训费等教育收费。</w:t>
      </w:r>
    </w:p>
    <w:p>
      <w:pPr>
        <w:keepNext w:val="0"/>
        <w:keepLines w:val="0"/>
        <w:pageBreakBefore w:val="0"/>
        <w:widowControl w:val="0"/>
        <w:numPr>
          <w:ilvl w:val="0"/>
          <w:numId w:val="4"/>
        </w:numPr>
        <w:kinsoku w:val="0"/>
        <w:wordWrap/>
        <w:overflowPunct w:val="0"/>
        <w:topLinePunct w:val="0"/>
        <w:autoSpaceDE w:val="0"/>
        <w:autoSpaceDN w:val="0"/>
        <w:bidi w:val="0"/>
        <w:adjustRightInd/>
        <w:snapToGrid/>
        <w:spacing w:line="620" w:lineRule="exact"/>
        <w:ind w:left="0" w:leftChars="0" w:firstLine="640" w:firstLineChars="200"/>
        <w:jc w:val="both"/>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事业收入：是指事业单位开展专业活动及辅助活动所取得的收入</w:t>
      </w:r>
      <w:r>
        <w:rPr>
          <w:rFonts w:hint="eastAsia" w:ascii="Times New Roman" w:hAnsi="Times New Roman" w:eastAsia="仿宋_GB2312" w:cs="Times New Roman"/>
          <w:b w:val="0"/>
          <w:bCs w:val="0"/>
          <w:sz w:val="32"/>
          <w:szCs w:val="32"/>
          <w:lang w:eastAsia="zh-CN"/>
        </w:rPr>
        <w:t>，不包括教育收费</w:t>
      </w:r>
      <w:r>
        <w:rPr>
          <w:rFonts w:hint="default" w:ascii="Times New Roman" w:hAnsi="Times New Roman" w:eastAsia="仿宋_GB2312" w:cs="Times New Roman"/>
          <w:b w:val="0"/>
          <w:bCs w:val="0"/>
          <w:sz w:val="32"/>
          <w:szCs w:val="32"/>
        </w:rPr>
        <w:t>。</w:t>
      </w:r>
    </w:p>
    <w:p>
      <w:pPr>
        <w:keepNext w:val="0"/>
        <w:keepLines w:val="0"/>
        <w:pageBreakBefore w:val="0"/>
        <w:widowControl w:val="0"/>
        <w:numPr>
          <w:ilvl w:val="0"/>
          <w:numId w:val="4"/>
        </w:numPr>
        <w:kinsoku w:val="0"/>
        <w:wordWrap/>
        <w:overflowPunct w:val="0"/>
        <w:topLinePunct w:val="0"/>
        <w:autoSpaceDE w:val="0"/>
        <w:autoSpaceDN w:val="0"/>
        <w:bidi w:val="0"/>
        <w:adjustRightInd/>
        <w:snapToGrid/>
        <w:spacing w:line="620" w:lineRule="exact"/>
        <w:ind w:left="0" w:leftChars="0" w:firstLine="640" w:firstLineChars="200"/>
        <w:jc w:val="both"/>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t>事业单位经营收入：是指事业单位在专业业务活动及其辅助活动之外开展非独立核算经营活动取得的收入。</w:t>
      </w:r>
    </w:p>
    <w:p>
      <w:pPr>
        <w:keepNext w:val="0"/>
        <w:keepLines w:val="0"/>
        <w:pageBreakBefore w:val="0"/>
        <w:widowControl w:val="0"/>
        <w:kinsoku w:val="0"/>
        <w:wordWrap/>
        <w:overflowPunct w:val="0"/>
        <w:topLinePunct w:val="0"/>
        <w:autoSpaceDE w:val="0"/>
        <w:autoSpaceDN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t>五</w:t>
      </w:r>
      <w:r>
        <w:rPr>
          <w:rFonts w:hint="default" w:ascii="Times New Roman" w:hAnsi="Times New Roman" w:eastAsia="仿宋_GB2312" w:cs="Times New Roman"/>
          <w:b w:val="0"/>
          <w:bCs w:val="0"/>
          <w:sz w:val="32"/>
          <w:szCs w:val="32"/>
        </w:rPr>
        <w:t>、其他收入：是指部门取得的除“财政拨款”、“事业收入”、“事业单位经营收入”等以外的收入。</w:t>
      </w:r>
    </w:p>
    <w:p>
      <w:pPr>
        <w:keepNext w:val="0"/>
        <w:keepLines w:val="0"/>
        <w:pageBreakBefore w:val="0"/>
        <w:widowControl w:val="0"/>
        <w:kinsoku w:val="0"/>
        <w:wordWrap/>
        <w:overflowPunct w:val="0"/>
        <w:topLinePunct w:val="0"/>
        <w:autoSpaceDE w:val="0"/>
        <w:autoSpaceDN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t>六</w:t>
      </w:r>
      <w:r>
        <w:rPr>
          <w:rFonts w:hint="default" w:ascii="Times New Roman" w:hAnsi="Times New Roman" w:eastAsia="仿宋_GB2312" w:cs="Times New Roman"/>
          <w:b w:val="0"/>
          <w:bCs w:val="0"/>
          <w:sz w:val="32"/>
          <w:szCs w:val="32"/>
        </w:rPr>
        <w:t>、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pPr>
        <w:keepNext w:val="0"/>
        <w:keepLines w:val="0"/>
        <w:pageBreakBefore w:val="0"/>
        <w:widowControl w:val="0"/>
        <w:kinsoku w:val="0"/>
        <w:wordWrap/>
        <w:overflowPunct w:val="0"/>
        <w:topLinePunct w:val="0"/>
        <w:autoSpaceDE w:val="0"/>
        <w:autoSpaceDN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t>七</w:t>
      </w:r>
      <w:r>
        <w:rPr>
          <w:rFonts w:hint="default" w:ascii="Times New Roman" w:hAnsi="Times New Roman" w:eastAsia="仿宋_GB2312" w:cs="Times New Roman"/>
          <w:b w:val="0"/>
          <w:bCs w:val="0"/>
          <w:sz w:val="32"/>
          <w:szCs w:val="32"/>
        </w:rPr>
        <w:t>、基本支出：是指为保障机构正常运转、完成日常工作任务所必需的开支，其内容包括人员经费和日常公用经费两部分。</w:t>
      </w:r>
    </w:p>
    <w:p>
      <w:pPr>
        <w:keepNext w:val="0"/>
        <w:keepLines w:val="0"/>
        <w:pageBreakBefore w:val="0"/>
        <w:widowControl w:val="0"/>
        <w:kinsoku w:val="0"/>
        <w:wordWrap/>
        <w:overflowPunct w:val="0"/>
        <w:topLinePunct w:val="0"/>
        <w:autoSpaceDE w:val="0"/>
        <w:autoSpaceDN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t>八</w:t>
      </w:r>
      <w:r>
        <w:rPr>
          <w:rFonts w:hint="default" w:ascii="Times New Roman" w:hAnsi="Times New Roman" w:eastAsia="仿宋_GB2312" w:cs="Times New Roman"/>
          <w:b w:val="0"/>
          <w:bCs w:val="0"/>
          <w:sz w:val="32"/>
          <w:szCs w:val="32"/>
        </w:rPr>
        <w:t>、项目支出：是指在基本支出之外，为完成特定的行政工作任务或事业发展目标所发生的支出。</w:t>
      </w:r>
    </w:p>
    <w:p>
      <w:pPr>
        <w:keepNext w:val="0"/>
        <w:keepLines w:val="0"/>
        <w:pageBreakBefore w:val="0"/>
        <w:widowControl w:val="0"/>
        <w:kinsoku w:val="0"/>
        <w:wordWrap/>
        <w:overflowPunct w:val="0"/>
        <w:topLinePunct w:val="0"/>
        <w:autoSpaceDE w:val="0"/>
        <w:autoSpaceDN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t>九</w:t>
      </w:r>
      <w:r>
        <w:rPr>
          <w:rFonts w:hint="default" w:ascii="Times New Roman" w:hAnsi="Times New Roman" w:eastAsia="仿宋_GB2312" w:cs="Times New Roman"/>
          <w:b w:val="0"/>
          <w:bCs w:val="0"/>
          <w:sz w:val="32"/>
          <w:szCs w:val="32"/>
        </w:rPr>
        <w:t>、“三公”经费：是指纳入市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eepNext w:val="0"/>
        <w:keepLines w:val="0"/>
        <w:pageBreakBefore w:val="0"/>
        <w:widowControl w:val="0"/>
        <w:kinsoku w:val="0"/>
        <w:wordWrap/>
        <w:overflowPunct w:val="0"/>
        <w:topLinePunct w:val="0"/>
        <w:autoSpaceDE w:val="0"/>
        <w:autoSpaceDN w:val="0"/>
        <w:bidi w:val="0"/>
        <w:adjustRightInd/>
        <w:snapToGrid/>
        <w:spacing w:line="620" w:lineRule="exact"/>
        <w:ind w:firstLine="640" w:firstLineChars="200"/>
        <w:jc w:val="both"/>
        <w:textAlignment w:val="auto"/>
        <w:rPr>
          <w:rFonts w:hint="default" w:ascii="Times New Roman" w:hAnsi="Times New Roman" w:eastAsia="仿宋_GB2312" w:cs="Times New Roman"/>
          <w:b w:val="0"/>
          <w:bCs w:val="0"/>
          <w:sz w:val="32"/>
          <w:szCs w:val="32"/>
        </w:rPr>
      </w:pPr>
      <w:r>
        <w:rPr>
          <w:rFonts w:hint="eastAsia" w:ascii="Times New Roman" w:hAnsi="Times New Roman" w:eastAsia="仿宋_GB2312" w:cs="Times New Roman"/>
          <w:b w:val="0"/>
          <w:bCs w:val="0"/>
          <w:sz w:val="32"/>
          <w:szCs w:val="32"/>
          <w:lang w:eastAsia="zh-CN"/>
        </w:rPr>
        <w:t>十</w:t>
      </w:r>
      <w:r>
        <w:rPr>
          <w:rFonts w:hint="default" w:ascii="Times New Roman" w:hAnsi="Times New Roman" w:eastAsia="仿宋_GB2312" w:cs="Times New Roman"/>
          <w:b w:val="0"/>
          <w:bCs w:val="0"/>
          <w:sz w:val="32"/>
          <w:szCs w:val="32"/>
        </w:rPr>
        <w:t>、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keepNext w:val="0"/>
        <w:keepLines w:val="0"/>
        <w:pageBreakBefore w:val="0"/>
        <w:widowControl w:val="0"/>
        <w:kinsoku w:val="0"/>
        <w:wordWrap/>
        <w:overflowPunct w:val="0"/>
        <w:topLinePunct w:val="0"/>
        <w:autoSpaceDE w:val="0"/>
        <w:autoSpaceDN w:val="0"/>
        <w:bidi w:val="0"/>
        <w:adjustRightInd/>
        <w:snapToGrid/>
        <w:spacing w:line="620" w:lineRule="exact"/>
        <w:ind w:firstLine="640" w:firstLineChars="200"/>
        <w:textAlignment w:val="auto"/>
        <w:rPr>
          <w:rFonts w:hint="default" w:ascii="Times New Roman" w:hAnsi="Times New Roman" w:eastAsia="仿宋_GB2312" w:cs="Times New Roman"/>
          <w:b w:val="0"/>
          <w:bCs w:val="0"/>
          <w:sz w:val="28"/>
          <w:szCs w:val="28"/>
        </w:rPr>
      </w:pPr>
      <w:r>
        <w:rPr>
          <w:rFonts w:hint="default" w:ascii="Times New Roman" w:hAnsi="Times New Roman" w:eastAsia="仿宋_GB2312" w:cs="Times New Roman"/>
          <w:b w:val="0"/>
          <w:bCs w:val="0"/>
          <w:sz w:val="32"/>
          <w:szCs w:val="32"/>
        </w:rPr>
        <w:t>附件：三门峡经济开发区财政审计部</w:t>
      </w:r>
      <w:r>
        <w:rPr>
          <w:rFonts w:hint="eastAsia" w:ascii="Times New Roman" w:hAnsi="Times New Roman" w:eastAsia="仿宋_GB2312" w:cs="Times New Roman"/>
          <w:b w:val="0"/>
          <w:bCs w:val="0"/>
          <w:sz w:val="32"/>
          <w:szCs w:val="32"/>
          <w:lang w:eastAsia="zh-CN"/>
        </w:rPr>
        <w:t>2024</w:t>
      </w:r>
      <w:r>
        <w:rPr>
          <w:rFonts w:hint="default" w:ascii="Times New Roman" w:hAnsi="Times New Roman" w:eastAsia="仿宋_GB2312" w:cs="Times New Roman"/>
          <w:b w:val="0"/>
          <w:bCs w:val="0"/>
          <w:sz w:val="32"/>
          <w:szCs w:val="32"/>
        </w:rPr>
        <w:t>年度部门预算表</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E213D"/>
    <w:multiLevelType w:val="singleLevel"/>
    <w:tmpl w:val="147E213D"/>
    <w:lvl w:ilvl="0" w:tentative="0">
      <w:start w:val="1"/>
      <w:numFmt w:val="chineseCounting"/>
      <w:suff w:val="nothing"/>
      <w:lvlText w:val="%1、"/>
      <w:lvlJc w:val="left"/>
      <w:rPr>
        <w:rFonts w:hint="eastAsia"/>
      </w:rPr>
    </w:lvl>
  </w:abstractNum>
  <w:abstractNum w:abstractNumId="1">
    <w:nsid w:val="36899142"/>
    <w:multiLevelType w:val="singleLevel"/>
    <w:tmpl w:val="36899142"/>
    <w:lvl w:ilvl="0" w:tentative="0">
      <w:start w:val="3"/>
      <w:numFmt w:val="chineseCounting"/>
      <w:suff w:val="nothing"/>
      <w:lvlText w:val="%1、"/>
      <w:lvlJc w:val="left"/>
      <w:rPr>
        <w:rFonts w:hint="eastAsia"/>
      </w:rPr>
    </w:lvl>
  </w:abstractNum>
  <w:abstractNum w:abstractNumId="2">
    <w:nsid w:val="3C10C869"/>
    <w:multiLevelType w:val="singleLevel"/>
    <w:tmpl w:val="3C10C869"/>
    <w:lvl w:ilvl="0" w:tentative="0">
      <w:start w:val="1"/>
      <w:numFmt w:val="chineseCounting"/>
      <w:suff w:val="nothing"/>
      <w:lvlText w:val="（%1）"/>
      <w:lvlJc w:val="left"/>
      <w:rPr>
        <w:rFonts w:hint="eastAsia"/>
      </w:rPr>
    </w:lvl>
  </w:abstractNum>
  <w:abstractNum w:abstractNumId="3">
    <w:nsid w:val="5C3DB998"/>
    <w:multiLevelType w:val="singleLevel"/>
    <w:tmpl w:val="5C3DB998"/>
    <w:lvl w:ilvl="0" w:tentative="0">
      <w:start w:val="9"/>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Yzg3Y2FiM2MwMmM1NDkyOGVkY2Q4NTQyNWVkNzkifQ=="/>
  </w:docVars>
  <w:rsids>
    <w:rsidRoot w:val="00433D11"/>
    <w:rsid w:val="00125A93"/>
    <w:rsid w:val="00295113"/>
    <w:rsid w:val="003D0122"/>
    <w:rsid w:val="00433D11"/>
    <w:rsid w:val="00472988"/>
    <w:rsid w:val="0048199A"/>
    <w:rsid w:val="00511713"/>
    <w:rsid w:val="0056466F"/>
    <w:rsid w:val="005F1520"/>
    <w:rsid w:val="00830C1C"/>
    <w:rsid w:val="008F5129"/>
    <w:rsid w:val="009B330A"/>
    <w:rsid w:val="00AF1525"/>
    <w:rsid w:val="00B61B1F"/>
    <w:rsid w:val="00B71510"/>
    <w:rsid w:val="00B95A3B"/>
    <w:rsid w:val="00D70BAC"/>
    <w:rsid w:val="00E76038"/>
    <w:rsid w:val="00F535C6"/>
    <w:rsid w:val="00FD526D"/>
    <w:rsid w:val="08065E29"/>
    <w:rsid w:val="08755298"/>
    <w:rsid w:val="08F16230"/>
    <w:rsid w:val="0D525F17"/>
    <w:rsid w:val="0E5D68C3"/>
    <w:rsid w:val="13274D28"/>
    <w:rsid w:val="14264546"/>
    <w:rsid w:val="19EC0BE7"/>
    <w:rsid w:val="1AC141D4"/>
    <w:rsid w:val="1C421A5D"/>
    <w:rsid w:val="1C692D33"/>
    <w:rsid w:val="1C876DAC"/>
    <w:rsid w:val="1D6A3171"/>
    <w:rsid w:val="1EAB0F03"/>
    <w:rsid w:val="1ED41446"/>
    <w:rsid w:val="219F6323"/>
    <w:rsid w:val="24CB48E0"/>
    <w:rsid w:val="25B24C6F"/>
    <w:rsid w:val="27332898"/>
    <w:rsid w:val="29DF7CB3"/>
    <w:rsid w:val="2A31266A"/>
    <w:rsid w:val="2A9F5694"/>
    <w:rsid w:val="2BC463C9"/>
    <w:rsid w:val="2DF31F7F"/>
    <w:rsid w:val="2EF77C21"/>
    <w:rsid w:val="2F9275E8"/>
    <w:rsid w:val="30183F1E"/>
    <w:rsid w:val="305E1404"/>
    <w:rsid w:val="306062F0"/>
    <w:rsid w:val="32024E86"/>
    <w:rsid w:val="34030A42"/>
    <w:rsid w:val="35EB283D"/>
    <w:rsid w:val="3644343A"/>
    <w:rsid w:val="38EC5A42"/>
    <w:rsid w:val="39672100"/>
    <w:rsid w:val="3B84115B"/>
    <w:rsid w:val="3BCE5E96"/>
    <w:rsid w:val="3C9F785E"/>
    <w:rsid w:val="3D0851EC"/>
    <w:rsid w:val="3EF845CB"/>
    <w:rsid w:val="43F426E8"/>
    <w:rsid w:val="45037362"/>
    <w:rsid w:val="455F49FC"/>
    <w:rsid w:val="456655E8"/>
    <w:rsid w:val="470A6635"/>
    <w:rsid w:val="484B3DE0"/>
    <w:rsid w:val="4A403492"/>
    <w:rsid w:val="4BC62299"/>
    <w:rsid w:val="4BC72710"/>
    <w:rsid w:val="4CBB004E"/>
    <w:rsid w:val="4F8E478C"/>
    <w:rsid w:val="4FD2585E"/>
    <w:rsid w:val="51DF491C"/>
    <w:rsid w:val="51E41BFA"/>
    <w:rsid w:val="52326F55"/>
    <w:rsid w:val="55684566"/>
    <w:rsid w:val="55FB0A2D"/>
    <w:rsid w:val="565847C5"/>
    <w:rsid w:val="57030EF8"/>
    <w:rsid w:val="580F478D"/>
    <w:rsid w:val="58443953"/>
    <w:rsid w:val="5B2F1F99"/>
    <w:rsid w:val="5B784612"/>
    <w:rsid w:val="5CC24C90"/>
    <w:rsid w:val="5D504448"/>
    <w:rsid w:val="602A69A3"/>
    <w:rsid w:val="61813C32"/>
    <w:rsid w:val="630F3E72"/>
    <w:rsid w:val="67151A1A"/>
    <w:rsid w:val="685B76E4"/>
    <w:rsid w:val="692D4CEA"/>
    <w:rsid w:val="6B537C96"/>
    <w:rsid w:val="6C635F46"/>
    <w:rsid w:val="6FB048FB"/>
    <w:rsid w:val="715A4658"/>
    <w:rsid w:val="76826CBF"/>
    <w:rsid w:val="76C57408"/>
    <w:rsid w:val="77C9480C"/>
    <w:rsid w:val="78F0097B"/>
    <w:rsid w:val="7AF53AFA"/>
    <w:rsid w:val="7B200261"/>
    <w:rsid w:val="7BF426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3"/>
      <w:szCs w:val="33"/>
      <w:lang w:val="en-US" w:eastAsia="en-US" w:bidi="ar-SA"/>
    </w:rPr>
  </w:style>
  <w:style w:type="paragraph" w:styleId="3">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0"/>
    <w:rPr>
      <w:b/>
      <w:bCs/>
    </w:rPr>
  </w:style>
  <w:style w:type="paragraph" w:styleId="8">
    <w:name w:val="List Paragraph"/>
    <w:basedOn w:val="1"/>
    <w:autoRedefine/>
    <w:qFormat/>
    <w:uiPriority w:val="34"/>
    <w:pPr>
      <w:ind w:firstLine="420" w:firstLineChars="200"/>
    </w:pPr>
  </w:style>
  <w:style w:type="character" w:customStyle="1" w:styleId="9">
    <w:name w:val="页眉 Char"/>
    <w:basedOn w:val="6"/>
    <w:link w:val="4"/>
    <w:semiHidden/>
    <w:qFormat/>
    <w:uiPriority w:val="99"/>
    <w:rPr>
      <w:rFonts w:asciiTheme="minorHAnsi" w:hAnsiTheme="minorHAnsi" w:eastAsiaTheme="minorEastAsia" w:cstheme="minorBidi"/>
      <w:kern w:val="2"/>
      <w:sz w:val="18"/>
      <w:szCs w:val="18"/>
    </w:rPr>
  </w:style>
  <w:style w:type="character" w:customStyle="1" w:styleId="10">
    <w:name w:val="页脚 Char"/>
    <w:basedOn w:val="6"/>
    <w:link w:val="3"/>
    <w:autoRedefine/>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ZFZX</Company>
  <Pages>9</Pages>
  <Words>2285</Words>
  <Characters>2639</Characters>
  <Lines>26</Lines>
  <Paragraphs>7</Paragraphs>
  <TotalTime>0</TotalTime>
  <ScaleCrop>false</ScaleCrop>
  <LinksUpToDate>false</LinksUpToDate>
  <CharactersWithSpaces>2869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2019-05-28T06:39:00Z</dcterms:created>
  <dc:creator>ZFZX</dc:creator>
  <cp:lastModifiedBy>Xiao</cp:lastModifiedBy>
  <cp:lastPrinted>2024-04-29T05:47:00Z</cp:lastPrinted>
  <dcterms:modified xsi:type="dcterms:W3CDTF">2024-04-30T09:48:36Z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0AC280C6D37C43B1A48E005BC5ADF46A</vt:lpwstr>
  </property>
</Properties>
</file>